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81F3" w14:textId="696519B3" w:rsidR="00110EB8" w:rsidRPr="00A120AD" w:rsidRDefault="000210C9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r>
        <w:rPr>
          <w:rFonts w:ascii="Arial" w:hAnsi="Arial" w:cs="Arial"/>
          <w:b/>
          <w:bCs/>
          <w:noProof/>
          <w:lang w:val="fr-BE" w:eastAsia="fr-BE"/>
        </w:rPr>
        <w:t>URB/21014/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>
        <w:rPr>
          <w:rFonts w:ascii="Arial" w:hAnsi="Arial" w:cs="Arial"/>
          <w:b/>
          <w:bCs/>
          <w:noProof/>
          <w:lang w:val="fr-BE" w:eastAsia="fr-BE"/>
        </w:rPr>
        <w:t>mettre en conformité un  ETABLISSEMENT D’HEBERGEMENT COLLECTIF avec 6 chambres et le changement d’affectation de la partie commerce en logement (1ère pièce au niveau du rez-de-chaussée).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; 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>
        <w:rPr>
          <w:rFonts w:ascii="Arial" w:hAnsi="Arial" w:cs="Arial"/>
          <w:b/>
          <w:bCs/>
          <w:noProof/>
          <w:lang w:val="fr-BE" w:eastAsia="fr-BE"/>
        </w:rPr>
        <w:t>Rue Saint-Josse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37</w:t>
      </w:r>
      <w:r w:rsidR="00AD3B1F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AD3B1F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introduite par  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TRUCMACHIN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Rue John Waterloo Wilson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28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1000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Bruxelles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293481F4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293481F5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293481F6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293481F7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293481F8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BE" w:eastAsia="fr-BE"/>
        </w:rPr>
      </w:pPr>
    </w:p>
    <w:p w14:paraId="293481F9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293481FA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Vu la demande de    TRUCMACHIN ,  Rue John Waterloo Wilson 28  à 1000 Bruxelles visant à mettre en conformité un  ETABLISSE</w:t>
      </w:r>
      <w:r w:rsidRPr="00AD3B1F">
        <w:rPr>
          <w:lang w:val="fr-BE"/>
        </w:rPr>
        <w:t>MENT D’HEBERGEMENT COLLECTIF  (</w:t>
      </w:r>
      <w:proofErr w:type="spellStart"/>
      <w:r w:rsidRPr="00AD3B1F">
        <w:rPr>
          <w:lang w:val="fr-BE"/>
        </w:rPr>
        <w:t>coliving</w:t>
      </w:r>
      <w:proofErr w:type="spellEnd"/>
      <w:r w:rsidRPr="00AD3B1F">
        <w:rPr>
          <w:lang w:val="fr-BE"/>
        </w:rPr>
        <w:t xml:space="preserve"> ) avec 6 chambres et le changement d’affectation de la partie commerce en logement (1ère pièce au niveau du rez-de-chaussée)ainsi que la mise en conformité de l’annexe au rez-de-chaussée, situé   Rue Saint-Josse 37  </w:t>
      </w:r>
      <w:r w:rsidRPr="00AD3B1F">
        <w:rPr>
          <w:lang w:val="fr-BE"/>
        </w:rPr>
        <w:t xml:space="preserve"> ;</w:t>
      </w:r>
    </w:p>
    <w:p w14:paraId="293481FB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bien concerné se trouve en zones d'habitation au plan régional d’affectation du sol arrêté par arrêté du gouvernement du 3 mai 2001 ;</w:t>
      </w:r>
    </w:p>
    <w:p w14:paraId="293481FC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Considérant que la demande </w:t>
      </w:r>
      <w:r w:rsidRPr="00AD3B1F">
        <w:rPr>
          <w:b/>
          <w:lang w:val="fr-BE"/>
        </w:rPr>
        <w:t>ne se situe pas</w:t>
      </w:r>
      <w:r w:rsidRPr="00AD3B1F">
        <w:rPr>
          <w:lang w:val="fr-BE"/>
        </w:rPr>
        <w:t xml:space="preserve"> dans le périmètre d'un plan particulier d'affectation du </w:t>
      </w:r>
      <w:r w:rsidRPr="00AD3B1F">
        <w:rPr>
          <w:lang w:val="fr-BE"/>
        </w:rPr>
        <w:t xml:space="preserve">sol </w:t>
      </w:r>
      <w:r w:rsidRPr="00AD3B1F">
        <w:rPr>
          <w:b/>
          <w:lang w:val="fr-BE"/>
        </w:rPr>
        <w:t>(PPAS)</w:t>
      </w:r>
      <w:r w:rsidRPr="00AD3B1F">
        <w:rPr>
          <w:lang w:val="fr-BE"/>
        </w:rPr>
        <w:t>. ;</w:t>
      </w:r>
    </w:p>
    <w:p w14:paraId="293481FD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Vu </w:t>
      </w:r>
      <w:r w:rsidRPr="00AD3B1F">
        <w:rPr>
          <w:b/>
          <w:lang w:val="fr-BE"/>
        </w:rPr>
        <w:t>l’avis défavorable</w:t>
      </w:r>
      <w:r w:rsidRPr="00AD3B1F">
        <w:rPr>
          <w:lang w:val="fr-BE"/>
        </w:rPr>
        <w:t xml:space="preserve"> du Service d’incendie et d’aide médicale urgente (SIAMU) du 23/07/2025  portant les références CP.2025.0531/1, figurant dans le dossier de demande de permis ;</w:t>
      </w:r>
    </w:p>
    <w:p w14:paraId="293481FE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demandeur a produit, d’initiative, des pla</w:t>
      </w:r>
      <w:r w:rsidRPr="00AD3B1F">
        <w:rPr>
          <w:lang w:val="fr-BE"/>
        </w:rPr>
        <w:t>ns modificatifs, en date du 12/01/2026 (art.126/§1</w:t>
      </w:r>
      <w:r w:rsidRPr="00AD3B1F">
        <w:rPr>
          <w:vertAlign w:val="superscript"/>
          <w:lang w:val="fr-BE"/>
        </w:rPr>
        <w:t>er</w:t>
      </w:r>
      <w:r w:rsidRPr="00AD3B1F">
        <w:rPr>
          <w:lang w:val="fr-BE"/>
        </w:rPr>
        <w:t xml:space="preserve"> du </w:t>
      </w:r>
      <w:proofErr w:type="spellStart"/>
      <w:r w:rsidRPr="00AD3B1F">
        <w:rPr>
          <w:lang w:val="fr-BE"/>
        </w:rPr>
        <w:t>CoBAT</w:t>
      </w:r>
      <w:proofErr w:type="spellEnd"/>
      <w:r w:rsidRPr="00AD3B1F">
        <w:rPr>
          <w:lang w:val="fr-BE"/>
        </w:rPr>
        <w:t>) : - que la demande modifiée a été soumise, à nouveau, aux actes d’instruction ;</w:t>
      </w:r>
    </w:p>
    <w:p w14:paraId="293481FF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Considérant que la demande tombe sous l’application des  articles 126§11 et 188/7 du </w:t>
      </w:r>
      <w:proofErr w:type="spellStart"/>
      <w:r w:rsidRPr="00AD3B1F">
        <w:rPr>
          <w:lang w:val="fr-BE"/>
        </w:rPr>
        <w:t>Cobat</w:t>
      </w:r>
      <w:proofErr w:type="spellEnd"/>
    </w:p>
    <w:p w14:paraId="29348200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la dem</w:t>
      </w:r>
      <w:r w:rsidRPr="00AD3B1F">
        <w:rPr>
          <w:lang w:val="fr-BE"/>
        </w:rPr>
        <w:t>ande déroge au(x) :</w:t>
      </w:r>
    </w:p>
    <w:p w14:paraId="29348201" w14:textId="77777777" w:rsidR="00A44811" w:rsidRPr="00AD3B1F" w:rsidRDefault="00D61EE4">
      <w:pPr>
        <w:numPr>
          <w:ilvl w:val="0"/>
          <w:numId w:val="3"/>
        </w:numPr>
        <w:rPr>
          <w:lang w:val="fr-BE"/>
        </w:rPr>
      </w:pPr>
      <w:r w:rsidRPr="00AD3B1F">
        <w:rPr>
          <w:lang w:val="fr-BE"/>
        </w:rPr>
        <w:t xml:space="preserve">dérogation à l'art.13 du titre I du RRU (maintien d'une surface perméable) </w:t>
      </w:r>
    </w:p>
    <w:p w14:paraId="29348202" w14:textId="77777777" w:rsidR="00A44811" w:rsidRPr="00AD3B1F" w:rsidRDefault="00D61EE4">
      <w:pPr>
        <w:numPr>
          <w:ilvl w:val="0"/>
          <w:numId w:val="3"/>
        </w:numPr>
        <w:rPr>
          <w:lang w:val="fr-BE"/>
        </w:rPr>
      </w:pPr>
      <w:r w:rsidRPr="00AD3B1F">
        <w:rPr>
          <w:lang w:val="fr-BE"/>
        </w:rPr>
        <w:t>dérogation à l'art.4 du titre I du RRU (profondeur de la construction)</w:t>
      </w:r>
    </w:p>
    <w:p w14:paraId="29348203" w14:textId="5B671B42" w:rsidR="00A44811" w:rsidRPr="00AD3B1F" w:rsidRDefault="00D61EE4">
      <w:pPr>
        <w:numPr>
          <w:ilvl w:val="0"/>
          <w:numId w:val="3"/>
        </w:numPr>
        <w:rPr>
          <w:lang w:val="fr-BE"/>
        </w:rPr>
      </w:pPr>
      <w:r w:rsidRPr="00AD3B1F">
        <w:rPr>
          <w:lang w:val="fr-BE"/>
        </w:rPr>
        <w:t xml:space="preserve">dérogation à l </w:t>
      </w:r>
      <w:r w:rsidR="00AD3B1F" w:rsidRPr="00AD3B1F">
        <w:rPr>
          <w:lang w:val="fr-BE"/>
        </w:rPr>
        <w:t>‘article 4 du titre II du RRU (hauteur sous plaf</w:t>
      </w:r>
      <w:r w:rsidR="00AD3B1F">
        <w:rPr>
          <w:lang w:val="fr-BE"/>
        </w:rPr>
        <w:t>ond locaux habitables)</w:t>
      </w:r>
      <w:r w:rsidRPr="00AD3B1F">
        <w:rPr>
          <w:lang w:val="fr-BE"/>
        </w:rPr>
        <w:t xml:space="preserve"> ;</w:t>
      </w:r>
    </w:p>
    <w:p w14:paraId="29348204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la demande a été soumise aux mesures particulières de p</w:t>
      </w:r>
      <w:r w:rsidRPr="00AD3B1F">
        <w:rPr>
          <w:lang w:val="fr-BE"/>
        </w:rPr>
        <w:t>ublicité ; que l’enquête publique s’est déroulée du 26/01/2026 au 09/02/2026 et qu’aucune  observation et/ou demande à être entendu n’a été introduite;</w:t>
      </w:r>
    </w:p>
    <w:p w14:paraId="29348205" w14:textId="6AEBE5AA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Considérant que la demande vise à régulariser l’annexe construite au </w:t>
      </w:r>
      <w:r w:rsidR="00AD3B1F" w:rsidRPr="00AD3B1F">
        <w:rPr>
          <w:lang w:val="fr-BE"/>
        </w:rPr>
        <w:t>rez-de-chaussée</w:t>
      </w:r>
      <w:r w:rsidRPr="00AD3B1F">
        <w:rPr>
          <w:lang w:val="fr-BE"/>
        </w:rPr>
        <w:t xml:space="preserve"> sur une profondeur </w:t>
      </w:r>
      <w:r w:rsidRPr="00AD3B1F">
        <w:rPr>
          <w:lang w:val="fr-BE"/>
        </w:rPr>
        <w:t>de 4 m alors que le permis d’urbanisme de 1939 autorisait une profondeur de 2 m ;</w:t>
      </w:r>
    </w:p>
    <w:p w14:paraId="29348206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Considérant que d’après l’analyse des </w:t>
      </w:r>
      <w:proofErr w:type="spellStart"/>
      <w:r w:rsidRPr="00AD3B1F">
        <w:rPr>
          <w:lang w:val="fr-BE"/>
        </w:rPr>
        <w:t>ortophotoplans</w:t>
      </w:r>
      <w:proofErr w:type="spellEnd"/>
      <w:r w:rsidRPr="00AD3B1F">
        <w:rPr>
          <w:lang w:val="fr-BE"/>
        </w:rPr>
        <w:t xml:space="preserve"> sur </w:t>
      </w:r>
      <w:proofErr w:type="spellStart"/>
      <w:r w:rsidRPr="00AD3B1F">
        <w:rPr>
          <w:lang w:val="fr-BE"/>
        </w:rPr>
        <w:t>Brugis</w:t>
      </w:r>
      <w:proofErr w:type="spellEnd"/>
      <w:r w:rsidRPr="00AD3B1F">
        <w:rPr>
          <w:lang w:val="fr-BE"/>
        </w:rPr>
        <w:t>,  cette annexe a été agrandie avant  2000 ;</w:t>
      </w:r>
    </w:p>
    <w:p w14:paraId="29348207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jardin a été bétonné vraisemblablement à la mêm</w:t>
      </w:r>
      <w:r w:rsidRPr="00AD3B1F">
        <w:rPr>
          <w:lang w:val="fr-BE"/>
        </w:rPr>
        <w:t>e époque ;</w:t>
      </w:r>
    </w:p>
    <w:p w14:paraId="29348208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l’objet de la demande fait mention d’un « établissement d’hébergement collectif » ;</w:t>
      </w:r>
    </w:p>
    <w:p w14:paraId="29348209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Considérant que la règlementation définie l’établissement d’hébergement collectif » comme « </w:t>
      </w:r>
      <w:r w:rsidRPr="00AD3B1F">
        <w:rPr>
          <w:i/>
          <w:lang w:val="fr-BE"/>
        </w:rPr>
        <w:t>locaux appartenant à une personne morale de droit pub</w:t>
      </w:r>
      <w:r w:rsidRPr="00AD3B1F">
        <w:rPr>
          <w:i/>
          <w:lang w:val="fr-BE"/>
        </w:rPr>
        <w:t xml:space="preserve">lic ou d’intérêt public et offrant des possibilités de séjour </w:t>
      </w:r>
      <w:r w:rsidRPr="00AD3B1F">
        <w:rPr>
          <w:i/>
          <w:lang w:val="fr-BE"/>
        </w:rPr>
        <w:lastRenderedPageBreak/>
        <w:t xml:space="preserve">collectif, tels que les pensionnats et chambres d’étudiants appartenant à une université </w:t>
      </w:r>
      <w:r w:rsidRPr="00AD3B1F">
        <w:rPr>
          <w:lang w:val="fr-BE"/>
        </w:rPr>
        <w:t>» ; que nous ne sommes donc pas ce cadre ;</w:t>
      </w:r>
    </w:p>
    <w:p w14:paraId="2934820A" w14:textId="6A7D48F0" w:rsidR="00A44811" w:rsidRPr="00AD3B1F" w:rsidRDefault="00AD3B1F">
      <w:pPr>
        <w:rPr>
          <w:lang w:val="fr-BE"/>
        </w:rPr>
      </w:pPr>
      <w:r>
        <w:rPr>
          <w:lang w:val="fr-BE"/>
        </w:rPr>
        <w:t xml:space="preserve">Considérant que le </w:t>
      </w:r>
      <w:proofErr w:type="spellStart"/>
      <w:r>
        <w:rPr>
          <w:lang w:val="fr-BE"/>
        </w:rPr>
        <w:t>coliving</w:t>
      </w:r>
      <w:proofErr w:type="spellEnd"/>
      <w:r>
        <w:rPr>
          <w:lang w:val="fr-BE"/>
        </w:rPr>
        <w:t xml:space="preserve"> </w:t>
      </w:r>
      <w:r w:rsidR="00D61EE4" w:rsidRPr="00AD3B1F">
        <w:rPr>
          <w:lang w:val="fr-BE"/>
        </w:rPr>
        <w:t xml:space="preserve"> n’existe pas dans la législation actuelle, qui faut considé</w:t>
      </w:r>
      <w:r w:rsidR="00D61EE4" w:rsidRPr="00AD3B1F">
        <w:rPr>
          <w:lang w:val="fr-BE"/>
        </w:rPr>
        <w:t>rer le bien comme une maison unifamiliale et appliquer les normes d’habitabilité y relatives ;</w:t>
      </w:r>
    </w:p>
    <w:p w14:paraId="2934820B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qu’il y a lieu de corriger l’annexe I cadre VI et l’objet de la demande ;</w:t>
      </w:r>
    </w:p>
    <w:p w14:paraId="2934820C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 </w:t>
      </w:r>
    </w:p>
    <w:p w14:paraId="2934820D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rez-de-chaussée était affecté en commerce ;</w:t>
      </w:r>
    </w:p>
    <w:p w14:paraId="2934820E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la demande vise à mettre en conformité une unité de logement avec 6 chambres ; que l’affectation est pertinente et acceptable ;</w:t>
      </w:r>
    </w:p>
    <w:p w14:paraId="2934820F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bien se compose au sous-sol d’un local social /espace bureau, d’une buanderie commune de 2,43</w:t>
      </w:r>
      <w:r w:rsidRPr="00AD3B1F">
        <w:rPr>
          <w:lang w:val="fr-BE"/>
        </w:rPr>
        <w:t xml:space="preserve"> m</w:t>
      </w:r>
      <w:r w:rsidRPr="00AD3B1F">
        <w:rPr>
          <w:vertAlign w:val="superscript"/>
          <w:lang w:val="fr-BE"/>
        </w:rPr>
        <w:t>2</w:t>
      </w:r>
      <w:r w:rsidRPr="00AD3B1F">
        <w:rPr>
          <w:lang w:val="fr-BE"/>
        </w:rPr>
        <w:t xml:space="preserve"> , d’un local vélo de 9,89 m² et d’un local poubelle situé tout au fond de la parcelle;</w:t>
      </w:r>
    </w:p>
    <w:p w14:paraId="29348210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« local social /espace bureau » devrait être un espace agréable ; que son implantation en sous-sol à rue et avec comme seule ouverture vers l’exté</w:t>
      </w:r>
      <w:r w:rsidRPr="00AD3B1F">
        <w:rPr>
          <w:lang w:val="fr-BE"/>
        </w:rPr>
        <w:t>rieur une soupirail  ne correspond pas au bon aménagement de lieux ;</w:t>
      </w:r>
    </w:p>
    <w:p w14:paraId="29348211" w14:textId="5E53D213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Considérant que le local vélo ne peut abriter de 5 vélos si on applique les normes du </w:t>
      </w:r>
      <w:r w:rsidR="00AD3B1F" w:rsidRPr="00AD3B1F">
        <w:rPr>
          <w:lang w:val="fr-BE"/>
        </w:rPr>
        <w:t>vadémécum</w:t>
      </w:r>
      <w:r w:rsidRPr="00AD3B1F">
        <w:rPr>
          <w:lang w:val="fr-BE"/>
        </w:rPr>
        <w:t xml:space="preserve"> (2m² /vélos) ;</w:t>
      </w:r>
    </w:p>
    <w:p w14:paraId="29348212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qu’il y a lieu de revoir l’aménagement du sous-sol en aménageant</w:t>
      </w:r>
      <w:r w:rsidRPr="00AD3B1F">
        <w:rPr>
          <w:lang w:val="fr-BE"/>
        </w:rPr>
        <w:t xml:space="preserve"> le local vélo à la place du « local social /espace bureau » ; qu’il conviendrait également de mettre une rampe le long de l’escalier afin de faciliter l’accès des vélos au sous-sol ;</w:t>
      </w:r>
    </w:p>
    <w:p w14:paraId="29348213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l’immeuble est situé dans une zone particulièrement bien</w:t>
      </w:r>
      <w:r w:rsidRPr="00AD3B1F">
        <w:rPr>
          <w:lang w:val="fr-BE"/>
        </w:rPr>
        <w:t xml:space="preserve"> desservie en transport en commun ;</w:t>
      </w:r>
    </w:p>
    <w:p w14:paraId="29348214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qu’au rez-de-chaussée (ancien commerce), on retrouve une cuisine de 11 m² ;</w:t>
      </w:r>
    </w:p>
    <w:p w14:paraId="29348215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le séjour fait 21 m² avec un coin détente de 7 m² qui dispose d’une hauteur sous plafond de 2,30 m ;</w:t>
      </w:r>
    </w:p>
    <w:p w14:paraId="29348216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</w:t>
      </w:r>
      <w:r w:rsidRPr="00AD3B1F">
        <w:rPr>
          <w:lang w:val="fr-BE"/>
        </w:rPr>
        <w:t xml:space="preserve"> cet espace fait partie d’une large pièce et dispose d’un éclairage suffisant, la dérogation à la hauteur sous plafond peut être acceptable ;</w:t>
      </w:r>
    </w:p>
    <w:p w14:paraId="29348217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au 1</w:t>
      </w:r>
      <w:r w:rsidRPr="00AD3B1F">
        <w:rPr>
          <w:vertAlign w:val="superscript"/>
          <w:lang w:val="fr-BE"/>
        </w:rPr>
        <w:t>er</w:t>
      </w:r>
      <w:r w:rsidRPr="00AD3B1F">
        <w:rPr>
          <w:lang w:val="fr-BE"/>
        </w:rPr>
        <w:t xml:space="preserve">  et 2</w:t>
      </w:r>
      <w:r w:rsidRPr="00AD3B1F">
        <w:rPr>
          <w:vertAlign w:val="superscript"/>
          <w:lang w:val="fr-BE"/>
        </w:rPr>
        <w:t>ème</w:t>
      </w:r>
      <w:r w:rsidRPr="00AD3B1F">
        <w:rPr>
          <w:lang w:val="fr-BE"/>
        </w:rPr>
        <w:t xml:space="preserve"> étages une chambre de 15 m² et une de 9 m², à l’étage sous comble une chambre de 9,43 </w:t>
      </w:r>
      <w:r w:rsidRPr="00AD3B1F">
        <w:rPr>
          <w:lang w:val="fr-BE"/>
        </w:rPr>
        <w:t>m² et une de 14,29 m² avec des hauteurs  sous plafond conformes au titre II du RRU ;</w:t>
      </w:r>
    </w:p>
    <w:p w14:paraId="29348218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que chaque chambre dispose d’une petite salle de bain individuelle ;</w:t>
      </w:r>
    </w:p>
    <w:p w14:paraId="29348219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 </w:t>
      </w:r>
    </w:p>
    <w:p w14:paraId="2934821A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>Considérant qu’en façade avant, la pierre bleue du soubassement est peinte, la baie du s</w:t>
      </w:r>
      <w:r w:rsidRPr="00AD3B1F">
        <w:rPr>
          <w:lang w:val="fr-BE"/>
        </w:rPr>
        <w:t>ous-sol est dotée de briques de verre et que la porte d’entrée est en pvc ; que ces modifications nuisent aux qualités architecturales du bien ;</w:t>
      </w:r>
    </w:p>
    <w:p w14:paraId="2934821B" w14:textId="77777777" w:rsidR="00A44811" w:rsidRPr="00AD3B1F" w:rsidRDefault="00D61EE4">
      <w:pPr>
        <w:rPr>
          <w:lang w:val="fr-BE"/>
        </w:rPr>
      </w:pPr>
      <w:r w:rsidRPr="00AD3B1F">
        <w:rPr>
          <w:lang w:val="fr-BE"/>
        </w:rPr>
        <w:t xml:space="preserve"> </w:t>
      </w:r>
    </w:p>
    <w:p w14:paraId="2934821C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2934821D" w14:textId="77777777" w:rsidR="00110EB8" w:rsidRPr="00A120AD" w:rsidRDefault="00110EB8" w:rsidP="00110EB8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A120AD">
        <w:rPr>
          <w:rFonts w:ascii="Arial" w:hAnsi="Arial" w:cs="Arial"/>
          <w:b/>
          <w:lang w:val="fr-BE"/>
        </w:rPr>
        <w:t xml:space="preserve">AVIS </w:t>
      </w:r>
      <w:r w:rsidR="000210C9">
        <w:rPr>
          <w:rFonts w:ascii="Arial" w:hAnsi="Arial" w:cs="Arial"/>
          <w:b/>
          <w:noProof/>
          <w:lang w:val="fr-BE"/>
        </w:rPr>
        <w:t>Favorable sous conditions (unanime)</w:t>
      </w:r>
    </w:p>
    <w:p w14:paraId="2934821E" w14:textId="77777777" w:rsidR="00110EB8" w:rsidRPr="00A120AD" w:rsidRDefault="00110EB8" w:rsidP="00110EB8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2934821F" w14:textId="77777777" w:rsidR="00110EB8" w:rsidRPr="00AD3B1F" w:rsidRDefault="000210C9" w:rsidP="00AD3B1F">
      <w:pPr>
        <w:numPr>
          <w:ilvl w:val="0"/>
          <w:numId w:val="2"/>
        </w:numPr>
        <w:suppressAutoHyphens/>
        <w:spacing w:after="0" w:line="36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AD3B1F">
        <w:rPr>
          <w:rFonts w:ascii="Arial" w:hAnsi="Arial" w:cs="Arial"/>
          <w:noProof/>
          <w:sz w:val="20"/>
          <w:szCs w:val="20"/>
          <w:lang w:val="fr-BE"/>
        </w:rPr>
        <w:t>-végétaliser les toitures plates afin de compenser l’imperméabilisation totale de la parcelle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>-En façade avant : décaper la pierre bleue, poser un châssis pour la baie du sous-sol et placer un nouvelle porte en bois en accord avec la typologie de la façade ;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 xml:space="preserve">-Limiter la profondeur de l’annexe à la situation légale 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>-Modifier le projet afin d’obtenir un avis favorable du SIAMU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>-Ne pas installer un local habitable au sous-sol en façade avant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 xml:space="preserve">-Déplacer le local vélo à la place du « local social » et revoir l’aménagement du sous-sol 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>-prévoir une rampe pour descendre les vélos au sous-sol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 xml:space="preserve">-Ne pas aménager des chambres sous-combles 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 xml:space="preserve">-Corriger annexe I cadre VI affectation logement </w:t>
      </w:r>
      <w:r w:rsidRPr="00AD3B1F">
        <w:rPr>
          <w:rFonts w:ascii="Arial" w:hAnsi="Arial" w:cs="Arial"/>
          <w:noProof/>
          <w:sz w:val="20"/>
          <w:szCs w:val="20"/>
          <w:lang w:val="fr-BE"/>
        </w:rPr>
        <w:br/>
        <w:t xml:space="preserve"> </w:t>
      </w:r>
    </w:p>
    <w:p w14:paraId="29348220" w14:textId="77777777" w:rsidR="00110EB8" w:rsidRPr="00A120AD" w:rsidRDefault="00110EB8" w:rsidP="00110EB8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  <w:bookmarkStart w:id="0" w:name="_GoBack"/>
      <w:bookmarkEnd w:id="0"/>
    </w:p>
    <w:sectPr w:rsidR="00110EB8" w:rsidRPr="00A120AD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8225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29348226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8229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822A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822C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8223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29348224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8227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8228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4822B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44811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3B1F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1EE4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81F3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Anne Winterberg</cp:lastModifiedBy>
  <cp:revision>2</cp:revision>
  <cp:lastPrinted>2009-03-09T16:55:00Z</cp:lastPrinted>
  <dcterms:created xsi:type="dcterms:W3CDTF">2026-02-17T09:21:00Z</dcterms:created>
  <dcterms:modified xsi:type="dcterms:W3CDTF">2026-02-17T09:21:00Z</dcterms:modified>
</cp:coreProperties>
</file>