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11F2B" w14:textId="01490E3B" w:rsidR="00110EB8" w:rsidRPr="00A120AD" w:rsidRDefault="00684ECD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r>
        <w:rPr>
          <w:rFonts w:ascii="Arial" w:hAnsi="Arial" w:cs="Arial"/>
          <w:b/>
          <w:bCs/>
          <w:noProof/>
          <w:lang w:val="fr-BE" w:eastAsia="fr-BE"/>
        </w:rPr>
        <w:t>URB/20665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Diviser une maison unifamiliale en deux duplex avec modification du volume (mettre en conformité les annexes au 1er et 2ème étage</w:t>
      </w:r>
      <w:r w:rsidR="00060CC0"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des Deux Tours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37</w:t>
      </w:r>
      <w:r w:rsidR="00060CC0"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Madame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Fatma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Beydilli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des Deux Tours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37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bte 0001</w:t>
      </w:r>
      <w:r w:rsidR="00060CC0">
        <w:rPr>
          <w:rFonts w:ascii="Arial" w:hAnsi="Arial" w:cs="Arial"/>
          <w:b/>
          <w:bCs/>
          <w:noProof/>
          <w:lang w:val="fr-BE" w:eastAsia="fr-BE"/>
        </w:rPr>
        <w:t xml:space="preserve"> à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22D11F2E" w14:textId="2DCEF7BC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22D11F2F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22D11F31" w14:textId="7802AB1B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22D11F32" w14:textId="77777777" w:rsidR="00554B3C" w:rsidRPr="00060CC0" w:rsidRDefault="00684ECD" w:rsidP="00060CC0">
      <w:pPr>
        <w:spacing w:after="0" w:line="240" w:lineRule="auto"/>
        <w:rPr>
          <w:lang w:val="fr-BE"/>
        </w:rPr>
      </w:pPr>
      <w:r w:rsidRPr="00060CC0">
        <w:rPr>
          <w:lang w:val="fr-BE"/>
        </w:rPr>
        <w:t xml:space="preserve">Vu la demande de Madame Fatma </w:t>
      </w:r>
      <w:proofErr w:type="spellStart"/>
      <w:r w:rsidRPr="00060CC0">
        <w:rPr>
          <w:lang w:val="fr-BE"/>
        </w:rPr>
        <w:t>Beydilli</w:t>
      </w:r>
      <w:proofErr w:type="spellEnd"/>
      <w:r w:rsidRPr="00060CC0">
        <w:rPr>
          <w:lang w:val="fr-BE"/>
        </w:rPr>
        <w:t xml:space="preserve">  ,  Rue des Deux Tours 37 bte 0001 à 1210 Saint-Josse-ten-Noode visant à diviser une maison unifamiliale en deux duplex avec modification du volume (mettre en conformité les annexes au 1er et 2ème étage, situé   Rue des Deux Tours 37   ;</w:t>
      </w:r>
    </w:p>
    <w:p w14:paraId="22D11F33" w14:textId="77777777" w:rsidR="00554B3C" w:rsidRPr="00060CC0" w:rsidRDefault="00684ECD" w:rsidP="00060CC0">
      <w:pPr>
        <w:spacing w:after="0" w:line="240" w:lineRule="auto"/>
        <w:rPr>
          <w:lang w:val="fr-BE"/>
        </w:rPr>
      </w:pPr>
      <w:r w:rsidRPr="00060CC0">
        <w:rPr>
          <w:lang w:val="fr-BE"/>
        </w:rPr>
        <w:t>Considérant que le bien concerné se trouve en zones d'habitation au plan régional d’affectation du sol arrêté par arrêté du gouvernement du 3 mai 2001 ;</w:t>
      </w:r>
    </w:p>
    <w:p w14:paraId="22D11F34" w14:textId="77777777" w:rsidR="00554B3C" w:rsidRPr="00060CC0" w:rsidRDefault="00684ECD" w:rsidP="00060CC0">
      <w:pPr>
        <w:spacing w:after="0" w:line="240" w:lineRule="auto"/>
        <w:rPr>
          <w:lang w:val="fr-BE"/>
        </w:rPr>
      </w:pPr>
      <w:r w:rsidRPr="00060CC0">
        <w:rPr>
          <w:lang w:val="fr-BE"/>
        </w:rPr>
        <w:t>Vu l’avis du Service d’incendie et d’aide médicale urgente (SIAMU) du 30/05/2022 portant les références T.2022.0430/1 figurant dans le dossier de demande de permis ;</w:t>
      </w:r>
    </w:p>
    <w:p w14:paraId="22D11F35" w14:textId="77777777" w:rsidR="00554B3C" w:rsidRPr="00060CC0" w:rsidRDefault="00684ECD" w:rsidP="00060CC0">
      <w:pPr>
        <w:spacing w:after="0" w:line="240" w:lineRule="auto"/>
        <w:rPr>
          <w:lang w:val="fr-BE"/>
        </w:rPr>
      </w:pPr>
      <w:r w:rsidRPr="00060CC0">
        <w:rPr>
          <w:lang w:val="fr-BE"/>
        </w:rPr>
        <w:t xml:space="preserve">Considérant que la demande déroge à :  </w:t>
      </w:r>
    </w:p>
    <w:p w14:paraId="22D11F36" w14:textId="77777777" w:rsidR="00554B3C" w:rsidRPr="00060CC0" w:rsidRDefault="00684ECD" w:rsidP="00060CC0">
      <w:pPr>
        <w:numPr>
          <w:ilvl w:val="0"/>
          <w:numId w:val="3"/>
        </w:numPr>
        <w:spacing w:after="0" w:line="240" w:lineRule="auto"/>
        <w:rPr>
          <w:lang w:val="fr-BE"/>
        </w:rPr>
      </w:pPr>
      <w:r w:rsidRPr="00060CC0">
        <w:rPr>
          <w:lang w:val="fr-BE"/>
        </w:rPr>
        <w:t>l'art.4 du titre I du RRU (profondeur de la construction)</w:t>
      </w:r>
    </w:p>
    <w:p w14:paraId="22D11F37" w14:textId="77777777" w:rsidR="00554B3C" w:rsidRPr="00060CC0" w:rsidRDefault="00684ECD" w:rsidP="00060CC0">
      <w:pPr>
        <w:numPr>
          <w:ilvl w:val="0"/>
          <w:numId w:val="3"/>
        </w:numPr>
        <w:spacing w:after="0" w:line="240" w:lineRule="auto"/>
        <w:rPr>
          <w:lang w:val="fr-BE"/>
        </w:rPr>
      </w:pPr>
      <w:r w:rsidRPr="00060CC0">
        <w:rPr>
          <w:lang w:val="fr-BE"/>
        </w:rPr>
        <w:t xml:space="preserve"> l'art.6 du titre I du RRU (toiture d'une construction mitoyenne)</w:t>
      </w:r>
    </w:p>
    <w:p w14:paraId="22D11F38" w14:textId="77777777" w:rsidR="00554B3C" w:rsidRPr="00060CC0" w:rsidRDefault="00684ECD" w:rsidP="00060CC0">
      <w:pPr>
        <w:spacing w:after="0" w:line="240" w:lineRule="auto"/>
        <w:rPr>
          <w:lang w:val="fr-BE"/>
        </w:rPr>
      </w:pPr>
      <w:r w:rsidRPr="00060CC0">
        <w:rPr>
          <w:lang w:val="fr-BE"/>
        </w:rPr>
        <w:t>Considérant que la demande a été soumise aux mesures particulières de publicité ; que l’enquête publique s’est déroulée du 16/05/2022 au 30/05/2022 et qu’aucune observation et/ou demande à être entendu n’a été introduite ;</w:t>
      </w:r>
    </w:p>
    <w:p w14:paraId="22D11F39" w14:textId="77777777" w:rsidR="00554B3C" w:rsidRPr="00060CC0" w:rsidRDefault="00684ECD" w:rsidP="00060CC0">
      <w:pPr>
        <w:spacing w:after="0" w:line="240" w:lineRule="auto"/>
        <w:rPr>
          <w:lang w:val="fr-BE"/>
        </w:rPr>
      </w:pPr>
      <w:r w:rsidRPr="00060CC0">
        <w:rPr>
          <w:lang w:val="fr-BE"/>
        </w:rPr>
        <w:t>Considérant que la demande porte sur la création d’un logement duplex rez-1</w:t>
      </w:r>
      <w:r w:rsidRPr="00060CC0">
        <w:rPr>
          <w:vertAlign w:val="superscript"/>
          <w:lang w:val="fr-BE"/>
        </w:rPr>
        <w:t>er</w:t>
      </w:r>
      <w:r w:rsidRPr="00060CC0">
        <w:rPr>
          <w:lang w:val="fr-BE"/>
        </w:rPr>
        <w:t xml:space="preserve"> étage ;</w:t>
      </w:r>
    </w:p>
    <w:p w14:paraId="22D11F3A" w14:textId="77777777" w:rsidR="00554B3C" w:rsidRPr="00060CC0" w:rsidRDefault="00684ECD" w:rsidP="00060CC0">
      <w:pPr>
        <w:spacing w:after="0" w:line="240" w:lineRule="auto"/>
        <w:rPr>
          <w:lang w:val="fr-BE"/>
        </w:rPr>
      </w:pPr>
      <w:r w:rsidRPr="00060CC0">
        <w:rPr>
          <w:lang w:val="fr-BE"/>
        </w:rPr>
        <w:t>Considérant qu’au rez-de-chaussée, un permis (URB13.166 de 1938) autorise la construction d’une annexe sur 3,52 m de profondeur ;</w:t>
      </w:r>
    </w:p>
    <w:p w14:paraId="22D11F3B" w14:textId="77777777" w:rsidR="00554B3C" w:rsidRPr="00060CC0" w:rsidRDefault="00684ECD" w:rsidP="00060CC0">
      <w:pPr>
        <w:spacing w:after="0" w:line="240" w:lineRule="auto"/>
        <w:rPr>
          <w:lang w:val="fr-BE"/>
        </w:rPr>
      </w:pPr>
      <w:r w:rsidRPr="00060CC0">
        <w:rPr>
          <w:lang w:val="fr-BE"/>
        </w:rPr>
        <w:t>Considérant qu’en situation de fait l’annexe a une profondeur de 6,42 m et dépasse le voisin le plus profond de 4m ;</w:t>
      </w:r>
    </w:p>
    <w:p w14:paraId="22D11F3C" w14:textId="77777777" w:rsidR="00554B3C" w:rsidRPr="00060CC0" w:rsidRDefault="00684ECD" w:rsidP="00060CC0">
      <w:pPr>
        <w:spacing w:after="0" w:line="240" w:lineRule="auto"/>
        <w:rPr>
          <w:lang w:val="fr-BE"/>
        </w:rPr>
      </w:pPr>
      <w:r w:rsidRPr="00060CC0">
        <w:rPr>
          <w:lang w:val="fr-BE"/>
        </w:rPr>
        <w:t>Considérant que le toit de cette annexe dépasse de 50 cm le profil du mitoyen ;</w:t>
      </w:r>
    </w:p>
    <w:p w14:paraId="22D11F3D" w14:textId="77777777" w:rsidR="00554B3C" w:rsidRPr="00060CC0" w:rsidRDefault="00684ECD" w:rsidP="00060CC0">
      <w:pPr>
        <w:spacing w:after="0" w:line="240" w:lineRule="auto"/>
        <w:rPr>
          <w:lang w:val="fr-BE"/>
        </w:rPr>
      </w:pPr>
      <w:r w:rsidRPr="00060CC0">
        <w:rPr>
          <w:lang w:val="fr-BE"/>
        </w:rPr>
        <w:t>Considérant que le séjour est particulièrement étroit (3 m) ;</w:t>
      </w:r>
    </w:p>
    <w:p w14:paraId="22D11F3E" w14:textId="77777777" w:rsidR="00554B3C" w:rsidRPr="00060CC0" w:rsidRDefault="00684ECD" w:rsidP="00060CC0">
      <w:pPr>
        <w:spacing w:after="0" w:line="240" w:lineRule="auto"/>
        <w:rPr>
          <w:lang w:val="fr-BE"/>
        </w:rPr>
      </w:pPr>
      <w:r w:rsidRPr="00060CC0">
        <w:rPr>
          <w:lang w:val="fr-BE"/>
        </w:rPr>
        <w:t>Considérant qu’il n’y a pas de communication privée entre les deux étages du duplex ;</w:t>
      </w:r>
    </w:p>
    <w:p w14:paraId="22D11F3F" w14:textId="77777777" w:rsidR="00554B3C" w:rsidRPr="00060CC0" w:rsidRDefault="00684ECD" w:rsidP="00060CC0">
      <w:pPr>
        <w:spacing w:after="0" w:line="240" w:lineRule="auto"/>
        <w:rPr>
          <w:lang w:val="fr-BE"/>
        </w:rPr>
      </w:pPr>
      <w:r w:rsidRPr="00060CC0">
        <w:rPr>
          <w:lang w:val="fr-BE"/>
        </w:rPr>
        <w:t>Considérant qu’il y aurait lieu de prévoir un escalier en colimaçon entre le séjour et le dressing ;</w:t>
      </w:r>
    </w:p>
    <w:p w14:paraId="22D11F40" w14:textId="77777777" w:rsidR="00554B3C" w:rsidRPr="00060CC0" w:rsidRDefault="00684ECD" w:rsidP="00060CC0">
      <w:pPr>
        <w:spacing w:after="0" w:line="240" w:lineRule="auto"/>
        <w:rPr>
          <w:lang w:val="fr-BE"/>
        </w:rPr>
      </w:pPr>
      <w:r w:rsidRPr="00060CC0">
        <w:rPr>
          <w:lang w:val="fr-BE"/>
        </w:rPr>
        <w:t>Considérant que cet escalier diminuerait encore la largeur l’espace du séjour ;</w:t>
      </w:r>
    </w:p>
    <w:p w14:paraId="22D11F41" w14:textId="77777777" w:rsidR="00554B3C" w:rsidRPr="00060CC0" w:rsidRDefault="00684ECD" w:rsidP="00060CC0">
      <w:pPr>
        <w:spacing w:after="0" w:line="240" w:lineRule="auto"/>
        <w:rPr>
          <w:lang w:val="fr-BE"/>
        </w:rPr>
      </w:pPr>
      <w:r w:rsidRPr="00060CC0">
        <w:rPr>
          <w:lang w:val="fr-BE"/>
        </w:rPr>
        <w:t>Considérant que la pièce en façade avant a la même fonction et que si on élargit la baie entre ces deux pièces, on pourrait disposer d’un espace plus spacieux et plus confortable ;</w:t>
      </w:r>
    </w:p>
    <w:p w14:paraId="22D11F42" w14:textId="77777777" w:rsidR="00554B3C" w:rsidRPr="00060CC0" w:rsidRDefault="00684ECD" w:rsidP="00060CC0">
      <w:pPr>
        <w:spacing w:after="0" w:line="240" w:lineRule="auto"/>
        <w:rPr>
          <w:lang w:val="fr-BE"/>
        </w:rPr>
      </w:pPr>
      <w:r w:rsidRPr="00060CC0">
        <w:rPr>
          <w:lang w:val="fr-BE"/>
        </w:rPr>
        <w:t>Considérant qu’au 1</w:t>
      </w:r>
      <w:r w:rsidRPr="00060CC0">
        <w:rPr>
          <w:vertAlign w:val="superscript"/>
          <w:lang w:val="fr-BE"/>
        </w:rPr>
        <w:t>er</w:t>
      </w:r>
      <w:r w:rsidRPr="00060CC0">
        <w:rPr>
          <w:lang w:val="fr-BE"/>
        </w:rPr>
        <w:t xml:space="preserve"> étage une chambre a été construite sur une profondeur de 3,75 m prolongée d’une terrasse couverte de 2,5 m ;</w:t>
      </w:r>
    </w:p>
    <w:p w14:paraId="22D11F43" w14:textId="77777777" w:rsidR="00554B3C" w:rsidRPr="00060CC0" w:rsidRDefault="00684ECD" w:rsidP="00060CC0">
      <w:pPr>
        <w:spacing w:after="0" w:line="240" w:lineRule="auto"/>
        <w:rPr>
          <w:lang w:val="fr-BE"/>
        </w:rPr>
      </w:pPr>
      <w:r w:rsidRPr="00060CC0">
        <w:rPr>
          <w:lang w:val="fr-BE"/>
        </w:rPr>
        <w:t>Considérant que cette terrasse n’est pas conforme au code civil par rapport au mitoyen du 35 et du 39 (annexes construites en infraction) ;</w:t>
      </w:r>
    </w:p>
    <w:p w14:paraId="22D11F44" w14:textId="77777777" w:rsidR="00554B3C" w:rsidRPr="00060CC0" w:rsidRDefault="00684ECD" w:rsidP="00060CC0">
      <w:pPr>
        <w:spacing w:after="0" w:line="240" w:lineRule="auto"/>
        <w:rPr>
          <w:lang w:val="fr-BE"/>
        </w:rPr>
      </w:pPr>
      <w:r w:rsidRPr="00060CC0">
        <w:rPr>
          <w:lang w:val="fr-BE"/>
        </w:rPr>
        <w:t>Considérant que la couverture de la terrasse ainsi que le garde-corps en béton sont de nature à assombrir fortement la pièce ;</w:t>
      </w:r>
    </w:p>
    <w:p w14:paraId="22D11F45" w14:textId="77777777" w:rsidR="00554B3C" w:rsidRPr="00060CC0" w:rsidRDefault="00684ECD" w:rsidP="00060CC0">
      <w:pPr>
        <w:spacing w:after="0" w:line="240" w:lineRule="auto"/>
        <w:rPr>
          <w:lang w:val="fr-BE"/>
        </w:rPr>
      </w:pPr>
      <w:r w:rsidRPr="00060CC0">
        <w:rPr>
          <w:lang w:val="fr-BE"/>
        </w:rPr>
        <w:t>Considérant que le duplex du bas a un accès direct au jardin à partir du rez-de-chaussée et qu’il n’est donc pas nécessaire d’avoir également un accès à partir du 1</w:t>
      </w:r>
      <w:r w:rsidRPr="00060CC0">
        <w:rPr>
          <w:vertAlign w:val="superscript"/>
          <w:lang w:val="fr-BE"/>
        </w:rPr>
        <w:t>er</w:t>
      </w:r>
      <w:r w:rsidRPr="00060CC0">
        <w:rPr>
          <w:lang w:val="fr-BE"/>
        </w:rPr>
        <w:t xml:space="preserve"> étage ;</w:t>
      </w:r>
    </w:p>
    <w:p w14:paraId="22D11F46" w14:textId="77777777" w:rsidR="00554B3C" w:rsidRPr="00060CC0" w:rsidRDefault="00684ECD" w:rsidP="00060CC0">
      <w:pPr>
        <w:spacing w:after="0" w:line="240" w:lineRule="auto"/>
        <w:rPr>
          <w:lang w:val="fr-BE"/>
        </w:rPr>
      </w:pPr>
      <w:r w:rsidRPr="00060CC0">
        <w:rPr>
          <w:lang w:val="fr-BE"/>
        </w:rPr>
        <w:t>Considérant que la demande vise aussi la création d’un 2</w:t>
      </w:r>
      <w:r w:rsidRPr="00060CC0">
        <w:rPr>
          <w:vertAlign w:val="superscript"/>
          <w:lang w:val="fr-BE"/>
        </w:rPr>
        <w:t>ème</w:t>
      </w:r>
      <w:r w:rsidRPr="00060CC0">
        <w:rPr>
          <w:lang w:val="fr-BE"/>
        </w:rPr>
        <w:t xml:space="preserve"> duplex 2</w:t>
      </w:r>
      <w:r w:rsidRPr="00060CC0">
        <w:rPr>
          <w:vertAlign w:val="superscript"/>
          <w:lang w:val="fr-BE"/>
        </w:rPr>
        <w:t>ème</w:t>
      </w:r>
      <w:r w:rsidRPr="00060CC0">
        <w:rPr>
          <w:lang w:val="fr-BE"/>
        </w:rPr>
        <w:t>/combles ;</w:t>
      </w:r>
    </w:p>
    <w:p w14:paraId="22D11F47" w14:textId="77777777" w:rsidR="00554B3C" w:rsidRPr="00060CC0" w:rsidRDefault="00684ECD" w:rsidP="00060CC0">
      <w:pPr>
        <w:spacing w:after="0" w:line="240" w:lineRule="auto"/>
        <w:rPr>
          <w:lang w:val="fr-BE"/>
        </w:rPr>
      </w:pPr>
      <w:r w:rsidRPr="00060CC0">
        <w:rPr>
          <w:lang w:val="fr-BE"/>
        </w:rPr>
        <w:t>Considérant qu’une annexe a également été construite pour agrandir la pièce ;</w:t>
      </w:r>
    </w:p>
    <w:p w14:paraId="22D11F48" w14:textId="77777777" w:rsidR="00554B3C" w:rsidRPr="00060CC0" w:rsidRDefault="00684ECD" w:rsidP="00060CC0">
      <w:pPr>
        <w:spacing w:after="0" w:line="240" w:lineRule="auto"/>
        <w:rPr>
          <w:lang w:val="fr-BE"/>
        </w:rPr>
      </w:pPr>
      <w:r w:rsidRPr="00060CC0">
        <w:rPr>
          <w:lang w:val="fr-BE"/>
        </w:rPr>
        <w:t>Considérant que cette annexe s’inscrit le long du mitoyen de droite ;</w:t>
      </w:r>
    </w:p>
    <w:p w14:paraId="22D11F49" w14:textId="77777777" w:rsidR="00554B3C" w:rsidRPr="00060CC0" w:rsidRDefault="00684ECD" w:rsidP="00060CC0">
      <w:pPr>
        <w:spacing w:after="0" w:line="240" w:lineRule="auto"/>
        <w:rPr>
          <w:lang w:val="fr-BE"/>
        </w:rPr>
      </w:pPr>
      <w:r w:rsidRPr="00060CC0">
        <w:rPr>
          <w:lang w:val="fr-BE"/>
        </w:rPr>
        <w:t>Considérant que la pièce de séjour n’a pas la dimension minimale suffisante ;</w:t>
      </w:r>
    </w:p>
    <w:p w14:paraId="22D11F4A" w14:textId="77777777" w:rsidR="00554B3C" w:rsidRPr="00060CC0" w:rsidRDefault="00684ECD" w:rsidP="00060CC0">
      <w:pPr>
        <w:spacing w:after="0" w:line="240" w:lineRule="auto"/>
        <w:rPr>
          <w:lang w:val="fr-BE"/>
        </w:rPr>
      </w:pPr>
      <w:r w:rsidRPr="00060CC0">
        <w:rPr>
          <w:lang w:val="fr-BE"/>
        </w:rPr>
        <w:t>Considérant que si on agrandit la baie entre le séjour et la cuisine, les surfaces seront suffisantes ;</w:t>
      </w:r>
    </w:p>
    <w:p w14:paraId="22D11F4B" w14:textId="77777777" w:rsidR="00554B3C" w:rsidRPr="00060CC0" w:rsidRDefault="00684ECD" w:rsidP="00060CC0">
      <w:pPr>
        <w:spacing w:after="0" w:line="240" w:lineRule="auto"/>
        <w:rPr>
          <w:lang w:val="fr-BE"/>
        </w:rPr>
      </w:pPr>
      <w:r w:rsidRPr="00060CC0">
        <w:rPr>
          <w:lang w:val="fr-BE"/>
        </w:rPr>
        <w:t>Considérant que la chambre dans les combles a une hauteur sous plafond de 2,13 m à la place des 2,30 m requis ;</w:t>
      </w:r>
    </w:p>
    <w:p w14:paraId="22D11F4C" w14:textId="77777777" w:rsidR="00554B3C" w:rsidRPr="00060CC0" w:rsidRDefault="00684ECD" w:rsidP="00060CC0">
      <w:pPr>
        <w:spacing w:after="0" w:line="240" w:lineRule="auto"/>
        <w:rPr>
          <w:lang w:val="fr-BE"/>
        </w:rPr>
      </w:pPr>
      <w:r w:rsidRPr="00060CC0">
        <w:rPr>
          <w:lang w:val="fr-BE"/>
        </w:rPr>
        <w:t>Considérant que le duplex supérieur est privatisé par une porte en bas de l’escalier du 1</w:t>
      </w:r>
      <w:r w:rsidRPr="00060CC0">
        <w:rPr>
          <w:vertAlign w:val="superscript"/>
          <w:lang w:val="fr-BE"/>
        </w:rPr>
        <w:t>er</w:t>
      </w:r>
      <w:r w:rsidRPr="00060CC0">
        <w:rPr>
          <w:lang w:val="fr-BE"/>
        </w:rPr>
        <w:t xml:space="preserve"> étage ;</w:t>
      </w:r>
    </w:p>
    <w:p w14:paraId="22D11F4D" w14:textId="77777777" w:rsidR="00554B3C" w:rsidRPr="00060CC0" w:rsidRDefault="00684ECD" w:rsidP="00060CC0">
      <w:pPr>
        <w:spacing w:after="0" w:line="240" w:lineRule="auto"/>
        <w:rPr>
          <w:lang w:val="fr-BE"/>
        </w:rPr>
      </w:pPr>
      <w:r w:rsidRPr="00060CC0">
        <w:rPr>
          <w:lang w:val="fr-BE"/>
        </w:rPr>
        <w:t>Considérant qu’il y a un petit local vélo au rez-de-chaussée facilement accessible de la rue ainsi que 2 caves individuelles ;</w:t>
      </w:r>
    </w:p>
    <w:p w14:paraId="22D11F4E" w14:textId="77777777" w:rsidR="00554B3C" w:rsidRPr="00060CC0" w:rsidRDefault="00684ECD" w:rsidP="00060CC0">
      <w:pPr>
        <w:spacing w:after="0" w:line="240" w:lineRule="auto"/>
        <w:rPr>
          <w:lang w:val="fr-BE"/>
        </w:rPr>
      </w:pPr>
      <w:r w:rsidRPr="00060CC0">
        <w:rPr>
          <w:lang w:val="fr-BE"/>
        </w:rPr>
        <w:t>Considérant que les annexes permettent d’avoir des pièces supplémentaires ;</w:t>
      </w:r>
    </w:p>
    <w:p w14:paraId="22D11F4F" w14:textId="77777777" w:rsidR="00554B3C" w:rsidRPr="00060CC0" w:rsidRDefault="00684ECD" w:rsidP="00060CC0">
      <w:pPr>
        <w:spacing w:after="0" w:line="240" w:lineRule="auto"/>
        <w:rPr>
          <w:lang w:val="fr-BE"/>
        </w:rPr>
      </w:pPr>
      <w:r w:rsidRPr="00060CC0">
        <w:rPr>
          <w:lang w:val="fr-BE"/>
        </w:rPr>
        <w:t>Considérant l’aspect délabré de la façade ;</w:t>
      </w:r>
    </w:p>
    <w:p w14:paraId="22D11F50" w14:textId="77777777" w:rsidR="00554B3C" w:rsidRPr="00060CC0" w:rsidRDefault="00684ECD" w:rsidP="00060CC0">
      <w:pPr>
        <w:spacing w:after="0" w:line="240" w:lineRule="auto"/>
        <w:rPr>
          <w:lang w:val="fr-BE"/>
        </w:rPr>
      </w:pPr>
      <w:r w:rsidRPr="00060CC0">
        <w:rPr>
          <w:lang w:val="fr-BE"/>
        </w:rPr>
        <w:t>Considérant que les châssis et la porte seront en bois ;</w:t>
      </w:r>
    </w:p>
    <w:p w14:paraId="22D11F51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22D11F52" w14:textId="77777777" w:rsidR="00110EB8" w:rsidRPr="00A120AD" w:rsidRDefault="00110EB8" w:rsidP="00110EB8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Favorable sous conditions (unanime)</w:t>
      </w:r>
    </w:p>
    <w:p w14:paraId="22D11F53" w14:textId="77777777" w:rsidR="00110EB8" w:rsidRPr="00A120AD" w:rsidRDefault="00110EB8" w:rsidP="00110EB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2236E660" w14:textId="77777777" w:rsidR="00060CC0" w:rsidRDefault="000210C9" w:rsidP="00110EB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Prévoir un escalier privatif entre le rez-de-chaussée et le 1er étage</w:t>
      </w:r>
    </w:p>
    <w:p w14:paraId="6851BC6E" w14:textId="77777777" w:rsidR="00060CC0" w:rsidRDefault="000210C9" w:rsidP="00110EB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Agrandir la baie au rez-de-chaussée entre les 2 parties du salon</w:t>
      </w:r>
    </w:p>
    <w:p w14:paraId="1B279EBA" w14:textId="77777777" w:rsidR="00684ECD" w:rsidRDefault="000210C9" w:rsidP="00110EB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Agrandir la baie entre le séjour et la cuisine au 2ème étage ;</w:t>
      </w:r>
    </w:p>
    <w:p w14:paraId="7D0C2163" w14:textId="77777777" w:rsidR="00684ECD" w:rsidRDefault="000210C9" w:rsidP="00110EB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 xml:space="preserve">Ne pas faire de terrasse sur l’annexe du rez-de-chaussée, démonter l’escalier, la couverture de la terrasse et le garde-corps et verduriser la toiture. </w:t>
      </w:r>
    </w:p>
    <w:p w14:paraId="22D11F54" w14:textId="6DF6F775" w:rsidR="00110EB8" w:rsidRPr="00A120AD" w:rsidRDefault="000210C9" w:rsidP="00110EB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Prévoir une citerne de récupération d'eau pluviale en vue d'un usage interne avec rejet du trop-plein</w:t>
      </w:r>
    </w:p>
    <w:p w14:paraId="22D11F55" w14:textId="77777777" w:rsidR="00110EB8" w:rsidRPr="00A120AD" w:rsidRDefault="00110EB8" w:rsidP="00110EB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22D11F57" w14:textId="36803984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  <w:bookmarkStart w:id="0" w:name="_GoBack"/>
      <w:bookmarkEnd w:id="0"/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11F5A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22D11F5B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11F5E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11F5F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11F61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11F58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22D11F59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11F5C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11F5D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11F60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6FA286C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0CC0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54B3C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4ECD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029C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1F2B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2022-06-28T10:43:00Z</cp:lastPrinted>
  <dcterms:created xsi:type="dcterms:W3CDTF">2022-06-28T10:45:00Z</dcterms:created>
  <dcterms:modified xsi:type="dcterms:W3CDTF">2022-06-28T10:45:00Z</dcterms:modified>
</cp:coreProperties>
</file>