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3A111" w14:textId="7EC77F7E" w:rsidR="00110EB8" w:rsidRPr="00A120AD" w:rsidRDefault="005B47FF" w:rsidP="00110EB8">
      <w:pPr>
        <w:autoSpaceDE w:val="0"/>
        <w:autoSpaceDN w:val="0"/>
        <w:adjustRightInd w:val="0"/>
        <w:spacing w:after="0" w:line="240" w:lineRule="auto"/>
        <w:rPr>
          <w:rFonts w:ascii="Arial" w:hAnsi="Arial" w:cs="Arial"/>
          <w:b/>
          <w:bCs/>
          <w:lang w:val="fr-BE" w:eastAsia="fr-BE"/>
        </w:rPr>
      </w:pPr>
      <w:r>
        <w:rPr>
          <w:rFonts w:ascii="Arial" w:hAnsi="Arial" w:cs="Arial"/>
          <w:b/>
          <w:bCs/>
          <w:noProof/>
          <w:lang w:val="fr-BE" w:eastAsia="fr-BE"/>
        </w:rPr>
        <w:t>URB/20667</w:t>
      </w:r>
      <w:r w:rsidR="00110EB8" w:rsidRPr="00A120AD">
        <w:rPr>
          <w:rFonts w:ascii="Arial" w:hAnsi="Arial" w:cs="Arial"/>
          <w:b/>
          <w:bCs/>
          <w:lang w:val="fr-BE" w:eastAsia="fr-BE"/>
        </w:rPr>
        <w:t xml:space="preserve"> : Demande de </w:t>
      </w:r>
      <w:r w:rsidR="000210C9">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sidR="000210C9">
        <w:rPr>
          <w:rFonts w:ascii="Arial" w:hAnsi="Arial" w:cs="Arial"/>
          <w:b/>
          <w:bCs/>
          <w:noProof/>
          <w:lang w:val="fr-BE" w:eastAsia="fr-BE"/>
        </w:rPr>
        <w:t>transformer un immeuble de bureaux en logements</w:t>
      </w:r>
      <w:r>
        <w:rPr>
          <w:rFonts w:ascii="Arial" w:hAnsi="Arial" w:cs="Arial"/>
          <w:b/>
          <w:bCs/>
          <w:lang w:val="fr-BE" w:eastAsia="fr-BE"/>
        </w:rPr>
        <w:t xml:space="preserve"> </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chaussée de Haecht</w:t>
      </w:r>
      <w:r w:rsidR="000210C9">
        <w:rPr>
          <w:rFonts w:ascii="Arial" w:hAnsi="Arial" w:cs="Arial"/>
          <w:b/>
          <w:bCs/>
          <w:lang w:val="fr-BE" w:eastAsia="fr-BE"/>
        </w:rPr>
        <w:t xml:space="preserve"> </w:t>
      </w:r>
      <w:r w:rsidR="000210C9">
        <w:rPr>
          <w:rFonts w:ascii="Arial" w:hAnsi="Arial" w:cs="Arial"/>
          <w:b/>
          <w:bCs/>
          <w:noProof/>
          <w:lang w:val="fr-BE" w:eastAsia="fr-BE"/>
        </w:rPr>
        <w:t>47</w:t>
      </w:r>
      <w:r>
        <w:rPr>
          <w:rFonts w:ascii="Arial" w:hAnsi="Arial" w:cs="Arial"/>
          <w:b/>
          <w:bCs/>
          <w:lang w:val="fr-BE" w:eastAsia="fr-BE"/>
        </w:rPr>
        <w:t xml:space="preserve"> </w:t>
      </w:r>
      <w:r w:rsidR="00110EB8" w:rsidRPr="00A120AD">
        <w:rPr>
          <w:rFonts w:ascii="Arial" w:hAnsi="Arial" w:cs="Arial"/>
          <w:b/>
          <w:bCs/>
          <w:lang w:val="fr-BE" w:eastAsia="fr-BE"/>
        </w:rPr>
        <w:t>;</w:t>
      </w:r>
      <w:r w:rsidR="00110EB8" w:rsidRPr="00A120AD">
        <w:rPr>
          <w:rFonts w:ascii="Arial" w:hAnsi="Arial" w:cs="Arial"/>
          <w:b/>
          <w:bCs/>
          <w:lang w:val="fr-BE" w:eastAsia="fr-BE"/>
        </w:rPr>
        <w:br/>
        <w:t xml:space="preserve">introduite par </w:t>
      </w:r>
      <w:r w:rsidR="000210C9">
        <w:rPr>
          <w:rFonts w:ascii="Arial" w:hAnsi="Arial" w:cs="Arial"/>
          <w:b/>
          <w:bCs/>
          <w:noProof/>
          <w:lang w:val="fr-BE" w:eastAsia="fr-BE"/>
        </w:rPr>
        <w:t>Monsieur</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Nicolas</w:t>
      </w:r>
      <w:r w:rsidR="000210C9">
        <w:rPr>
          <w:rFonts w:ascii="Arial" w:hAnsi="Arial" w:cs="Arial"/>
          <w:b/>
          <w:bCs/>
          <w:lang w:val="fr-BE" w:eastAsia="fr-BE"/>
        </w:rPr>
        <w:t xml:space="preserve"> </w:t>
      </w:r>
      <w:r w:rsidR="000210C9">
        <w:rPr>
          <w:rFonts w:ascii="Arial" w:hAnsi="Arial" w:cs="Arial"/>
          <w:b/>
          <w:bCs/>
          <w:noProof/>
          <w:lang w:val="fr-BE" w:eastAsia="fr-BE"/>
        </w:rPr>
        <w:t>Kunkera</w:t>
      </w:r>
      <w:r w:rsidR="00110EB8" w:rsidRPr="00A120AD">
        <w:rPr>
          <w:rFonts w:ascii="Arial" w:hAnsi="Arial" w:cs="Arial"/>
          <w:b/>
          <w:bCs/>
          <w:lang w:val="fr-BE" w:eastAsia="fr-BE"/>
        </w:rPr>
        <w:t xml:space="preserve"> </w:t>
      </w:r>
      <w:r w:rsidR="000210C9">
        <w:rPr>
          <w:rFonts w:ascii="Arial" w:hAnsi="Arial" w:cs="Arial"/>
          <w:b/>
          <w:bCs/>
          <w:noProof/>
          <w:lang w:val="fr-BE" w:eastAsia="fr-BE"/>
        </w:rPr>
        <w:t>Neybor Invest</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Chaussée de Boondael</w:t>
      </w:r>
      <w:r w:rsidR="000210C9">
        <w:rPr>
          <w:rFonts w:ascii="Arial" w:hAnsi="Arial" w:cs="Arial"/>
          <w:b/>
          <w:bCs/>
          <w:lang w:val="fr-BE" w:eastAsia="fr-BE"/>
        </w:rPr>
        <w:t xml:space="preserve"> </w:t>
      </w:r>
      <w:r w:rsidR="000210C9">
        <w:rPr>
          <w:rFonts w:ascii="Arial" w:hAnsi="Arial" w:cs="Arial"/>
          <w:b/>
          <w:bCs/>
          <w:noProof/>
          <w:lang w:val="fr-BE" w:eastAsia="fr-BE"/>
        </w:rPr>
        <w:t>365</w:t>
      </w:r>
      <w:r>
        <w:rPr>
          <w:rFonts w:ascii="Arial" w:hAnsi="Arial" w:cs="Arial"/>
          <w:b/>
          <w:bCs/>
          <w:noProof/>
          <w:lang w:val="fr-BE" w:eastAsia="fr-BE"/>
        </w:rPr>
        <w:t xml:space="preserve"> à</w:t>
      </w:r>
      <w:r w:rsidR="000210C9">
        <w:rPr>
          <w:rFonts w:ascii="Arial" w:hAnsi="Arial" w:cs="Arial"/>
          <w:b/>
          <w:bCs/>
          <w:lang w:val="fr-BE" w:eastAsia="fr-BE"/>
        </w:rPr>
        <w:t xml:space="preserve"> </w:t>
      </w:r>
      <w:r w:rsidR="00110EB8" w:rsidRPr="00A120AD">
        <w:rPr>
          <w:rFonts w:ascii="Arial" w:hAnsi="Arial" w:cs="Arial"/>
          <w:b/>
          <w:bCs/>
          <w:lang w:val="fr-BE" w:eastAsia="fr-BE"/>
        </w:rPr>
        <w:t xml:space="preserve"> </w:t>
      </w:r>
      <w:r w:rsidR="000210C9">
        <w:rPr>
          <w:rFonts w:ascii="Arial" w:hAnsi="Arial" w:cs="Arial"/>
          <w:b/>
          <w:bCs/>
          <w:noProof/>
          <w:lang w:val="fr-BE" w:eastAsia="fr-BE"/>
        </w:rPr>
        <w:t>1050</w:t>
      </w:r>
      <w:r w:rsidR="00110EB8" w:rsidRPr="00A120AD">
        <w:rPr>
          <w:rFonts w:ascii="Arial" w:hAnsi="Arial" w:cs="Arial"/>
          <w:b/>
          <w:bCs/>
          <w:lang w:val="fr-BE" w:eastAsia="fr-BE"/>
        </w:rPr>
        <w:t xml:space="preserve"> </w:t>
      </w:r>
      <w:r w:rsidR="000210C9">
        <w:rPr>
          <w:rFonts w:ascii="Arial" w:hAnsi="Arial" w:cs="Arial"/>
          <w:b/>
          <w:bCs/>
          <w:noProof/>
          <w:lang w:val="fr-BE" w:eastAsia="fr-BE"/>
        </w:rPr>
        <w:t>Bruxelles</w:t>
      </w:r>
      <w:r w:rsidR="00110EB8" w:rsidRPr="00A120AD">
        <w:rPr>
          <w:rFonts w:ascii="Arial" w:hAnsi="Arial" w:cs="Arial"/>
          <w:b/>
          <w:bCs/>
          <w:lang w:val="fr-BE" w:eastAsia="fr-BE"/>
        </w:rPr>
        <w:t>.</w:t>
      </w:r>
    </w:p>
    <w:p w14:paraId="6D53A114" w14:textId="454DBFAC" w:rsidR="00110EB8" w:rsidRPr="00A120AD" w:rsidRDefault="00110EB8" w:rsidP="00110EB8">
      <w:pPr>
        <w:autoSpaceDE w:val="0"/>
        <w:autoSpaceDN w:val="0"/>
        <w:adjustRightInd w:val="0"/>
        <w:spacing w:after="0" w:line="240" w:lineRule="auto"/>
        <w:rPr>
          <w:rFonts w:ascii="Arial" w:hAnsi="Arial" w:cs="Arial"/>
          <w:b/>
          <w:bCs/>
          <w:lang w:val="fr-BE" w:eastAsia="fr-BE"/>
        </w:rPr>
      </w:pPr>
    </w:p>
    <w:p w14:paraId="6D53A115" w14:textId="77777777" w:rsidR="00110EB8" w:rsidRPr="00A120AD" w:rsidRDefault="00110EB8" w:rsidP="00110EB8">
      <w:pPr>
        <w:autoSpaceDE w:val="0"/>
        <w:autoSpaceDN w:val="0"/>
        <w:adjustRightInd w:val="0"/>
        <w:spacing w:after="0" w:line="240" w:lineRule="auto"/>
        <w:rPr>
          <w:rFonts w:ascii="Arial" w:hAnsi="Arial" w:cs="Arial"/>
          <w:b/>
          <w:bCs/>
          <w:u w:val="single"/>
          <w:lang w:val="fr-BE" w:eastAsia="fr-BE"/>
        </w:rPr>
      </w:pPr>
      <w:r w:rsidRPr="00A120AD">
        <w:rPr>
          <w:rFonts w:ascii="Arial" w:hAnsi="Arial" w:cs="Arial"/>
          <w:b/>
          <w:bCs/>
          <w:u w:val="single"/>
          <w:lang w:val="fr-BE" w:eastAsia="fr-BE"/>
        </w:rPr>
        <w:t>AVIS</w:t>
      </w:r>
    </w:p>
    <w:p w14:paraId="6D53A117" w14:textId="52BEF9A8" w:rsidR="00110EB8" w:rsidRPr="00A120AD" w:rsidRDefault="00110EB8" w:rsidP="00110EB8">
      <w:pPr>
        <w:suppressAutoHyphens/>
        <w:spacing w:after="0" w:line="240" w:lineRule="auto"/>
        <w:rPr>
          <w:rFonts w:ascii="Arial" w:hAnsi="Arial" w:cs="Arial"/>
          <w:lang w:val="fr-BE"/>
        </w:rPr>
      </w:pPr>
    </w:p>
    <w:p w14:paraId="6D53A118" w14:textId="77777777" w:rsidR="00734D6C" w:rsidRPr="005B47FF" w:rsidRDefault="002A4B49" w:rsidP="005B47FF">
      <w:pPr>
        <w:spacing w:after="0" w:line="240" w:lineRule="auto"/>
        <w:rPr>
          <w:lang w:val="fr-BE"/>
        </w:rPr>
      </w:pPr>
      <w:r w:rsidRPr="005B47FF">
        <w:rPr>
          <w:lang w:val="fr-BE"/>
        </w:rPr>
        <w:t xml:space="preserve">Vu la demande de Monsieur Nicolas </w:t>
      </w:r>
      <w:proofErr w:type="spellStart"/>
      <w:r w:rsidRPr="005B47FF">
        <w:rPr>
          <w:lang w:val="fr-BE"/>
        </w:rPr>
        <w:t>Kunkera</w:t>
      </w:r>
      <w:proofErr w:type="spellEnd"/>
      <w:r w:rsidRPr="005B47FF">
        <w:rPr>
          <w:lang w:val="fr-BE"/>
        </w:rPr>
        <w:t xml:space="preserve">,  </w:t>
      </w:r>
      <w:proofErr w:type="spellStart"/>
      <w:r w:rsidRPr="005B47FF">
        <w:rPr>
          <w:lang w:val="fr-BE"/>
        </w:rPr>
        <w:t>Neybor</w:t>
      </w:r>
      <w:proofErr w:type="spellEnd"/>
      <w:r w:rsidRPr="005B47FF">
        <w:rPr>
          <w:lang w:val="fr-BE"/>
        </w:rPr>
        <w:t xml:space="preserve"> Invest ,  Chaussée de </w:t>
      </w:r>
      <w:proofErr w:type="spellStart"/>
      <w:r w:rsidRPr="005B47FF">
        <w:rPr>
          <w:lang w:val="fr-BE"/>
        </w:rPr>
        <w:t>Boondael</w:t>
      </w:r>
      <w:proofErr w:type="spellEnd"/>
      <w:r w:rsidRPr="005B47FF">
        <w:rPr>
          <w:lang w:val="fr-BE"/>
        </w:rPr>
        <w:t xml:space="preserve"> 365  à 1050 Bruxelles visant à transformer un immeuble de bureaux en logements, situé   chaussée de </w:t>
      </w:r>
      <w:proofErr w:type="spellStart"/>
      <w:r w:rsidRPr="005B47FF">
        <w:rPr>
          <w:lang w:val="fr-BE"/>
        </w:rPr>
        <w:t>Haecht</w:t>
      </w:r>
      <w:proofErr w:type="spellEnd"/>
      <w:r w:rsidRPr="005B47FF">
        <w:rPr>
          <w:lang w:val="fr-BE"/>
        </w:rPr>
        <w:t xml:space="preserve"> 47   ;</w:t>
      </w:r>
    </w:p>
    <w:p w14:paraId="6D53A119" w14:textId="77777777" w:rsidR="00734D6C" w:rsidRPr="005B47FF" w:rsidRDefault="002A4B49" w:rsidP="005B47FF">
      <w:pPr>
        <w:spacing w:after="0" w:line="240" w:lineRule="auto"/>
        <w:rPr>
          <w:lang w:val="fr-BE"/>
        </w:rPr>
      </w:pPr>
      <w:r w:rsidRPr="005B47FF">
        <w:rPr>
          <w:lang w:val="fr-BE"/>
        </w:rPr>
        <w:t>Considérant que le bien concerné se trouve en zones de forte</w:t>
      </w:r>
      <w:r w:rsidRPr="005B47FF">
        <w:rPr>
          <w:lang w:val="fr-BE"/>
        </w:rPr>
        <w:t xml:space="preserve"> mixité, en zone d'intérêt culturel, historique, esthétique ou d'embellissement, en liseré de noyau commercial, le long d'un espace structurant au plan régional d’affectation du sol arrêté par arrêté du gouvernement du 3 mai 2001 ;</w:t>
      </w:r>
    </w:p>
    <w:p w14:paraId="6D53A11A" w14:textId="77777777" w:rsidR="00734D6C" w:rsidRPr="005B47FF" w:rsidRDefault="002A4B49" w:rsidP="005B47FF">
      <w:pPr>
        <w:spacing w:after="0" w:line="240" w:lineRule="auto"/>
        <w:rPr>
          <w:lang w:val="fr-BE"/>
        </w:rPr>
      </w:pPr>
      <w:r w:rsidRPr="005B47FF">
        <w:rPr>
          <w:lang w:val="fr-BE"/>
        </w:rPr>
        <w:t>Considérant que la deman</w:t>
      </w:r>
      <w:r w:rsidRPr="005B47FF">
        <w:rPr>
          <w:lang w:val="fr-BE"/>
        </w:rPr>
        <w:t>de se situe en zone mixte au PPAS n° Le bien se situe dans le périmètre du plan particulier d'affectation du sol (PPAS) « RUE ROYALE », AR du 02/04/1981. ;</w:t>
      </w:r>
    </w:p>
    <w:p w14:paraId="6D53A11B" w14:textId="77777777" w:rsidR="00734D6C" w:rsidRPr="005B47FF" w:rsidRDefault="002A4B49" w:rsidP="005B47FF">
      <w:pPr>
        <w:spacing w:after="0" w:line="240" w:lineRule="auto"/>
        <w:rPr>
          <w:lang w:val="fr-BE"/>
        </w:rPr>
      </w:pPr>
      <w:r w:rsidRPr="005B47FF">
        <w:rPr>
          <w:lang w:val="fr-BE"/>
        </w:rPr>
        <w:t>Considérant que la demande tombe sous l’application de l'art. 207 §1.al4 du COBAT (bien à l'inventai</w:t>
      </w:r>
      <w:r w:rsidRPr="005B47FF">
        <w:rPr>
          <w:lang w:val="fr-BE"/>
        </w:rPr>
        <w:t>re) ainsi que sous l’application de la prescription particulière 21. du PRAS (modification visible depuis les espaces publics) ;</w:t>
      </w:r>
    </w:p>
    <w:p w14:paraId="6D53A11C" w14:textId="77777777" w:rsidR="00734D6C" w:rsidRPr="005B47FF" w:rsidRDefault="002A4B49" w:rsidP="005B47FF">
      <w:pPr>
        <w:spacing w:after="0" w:line="240" w:lineRule="auto"/>
        <w:rPr>
          <w:lang w:val="fr-BE"/>
        </w:rPr>
      </w:pPr>
      <w:r w:rsidRPr="005B47FF">
        <w:rPr>
          <w:lang w:val="fr-BE"/>
        </w:rPr>
        <w:t>Considérant que la demande déroge à l’ art 1.1 du PPAS 31 (toiture en zinc en lieu et place d’une toiture en tuile et couleur d</w:t>
      </w:r>
      <w:r w:rsidRPr="005B47FF">
        <w:rPr>
          <w:lang w:val="fr-BE"/>
        </w:rPr>
        <w:t xml:space="preserve">es châssis) ;  </w:t>
      </w:r>
    </w:p>
    <w:p w14:paraId="6D53A11D" w14:textId="77777777" w:rsidR="00734D6C" w:rsidRPr="005B47FF" w:rsidRDefault="002A4B49" w:rsidP="005B47FF">
      <w:pPr>
        <w:spacing w:after="0" w:line="240" w:lineRule="auto"/>
        <w:rPr>
          <w:lang w:val="fr-BE"/>
        </w:rPr>
      </w:pPr>
      <w:r w:rsidRPr="005B47FF">
        <w:rPr>
          <w:lang w:val="fr-BE"/>
        </w:rPr>
        <w:t>Considérant que la demande déroge à l’article 13 du titre VIII du RRU en matière de nombre d’emplacements de parking ;</w:t>
      </w:r>
    </w:p>
    <w:p w14:paraId="6D53A11E" w14:textId="77777777" w:rsidR="00734D6C" w:rsidRPr="005B47FF" w:rsidRDefault="002A4B49" w:rsidP="005B47FF">
      <w:pPr>
        <w:spacing w:after="0" w:line="240" w:lineRule="auto"/>
        <w:rPr>
          <w:lang w:val="fr-BE"/>
        </w:rPr>
      </w:pPr>
      <w:r w:rsidRPr="005B47FF">
        <w:rPr>
          <w:lang w:val="fr-BE"/>
        </w:rPr>
        <w:t>Considérant que la demande a été soumise aux mesures particulières de publicité ; que l’enquête publique s’est déroulée d</w:t>
      </w:r>
      <w:r w:rsidRPr="005B47FF">
        <w:rPr>
          <w:lang w:val="fr-BE"/>
        </w:rPr>
        <w:t>u 10/01/2022 au 24/01/2022 et qu’aucune  observation et/ou demande à être entendu n’a été introduite;</w:t>
      </w:r>
    </w:p>
    <w:p w14:paraId="6D53A11F" w14:textId="77777777" w:rsidR="00734D6C" w:rsidRPr="005B47FF" w:rsidRDefault="002A4B49" w:rsidP="005B47FF">
      <w:pPr>
        <w:spacing w:after="0" w:line="240" w:lineRule="auto"/>
        <w:rPr>
          <w:lang w:val="fr-BE"/>
        </w:rPr>
      </w:pPr>
      <w:r w:rsidRPr="005B47FF">
        <w:rPr>
          <w:lang w:val="fr-BE"/>
        </w:rPr>
        <w:t>Considérant qu’il s’agit d’un immeuble de bureaux de 926 m² ;</w:t>
      </w:r>
    </w:p>
    <w:p w14:paraId="6D53A120" w14:textId="77777777" w:rsidR="00734D6C" w:rsidRPr="005B47FF" w:rsidRDefault="002A4B49" w:rsidP="005B47FF">
      <w:pPr>
        <w:spacing w:after="0" w:line="240" w:lineRule="auto"/>
        <w:rPr>
          <w:lang w:val="fr-BE"/>
        </w:rPr>
      </w:pPr>
      <w:r w:rsidRPr="005B47FF">
        <w:rPr>
          <w:lang w:val="fr-BE"/>
        </w:rPr>
        <w:t>Considérant que la présente demande vise à créer 6 appartements dans le bâtiment avant à sav</w:t>
      </w:r>
      <w:r w:rsidRPr="005B47FF">
        <w:rPr>
          <w:lang w:val="fr-BE"/>
        </w:rPr>
        <w:t>oir 4 appartements 2 chambres et 2 appartements 1 chambre ;</w:t>
      </w:r>
    </w:p>
    <w:p w14:paraId="6D53A121" w14:textId="77777777" w:rsidR="00734D6C" w:rsidRPr="005B47FF" w:rsidRDefault="002A4B49" w:rsidP="005B47FF">
      <w:pPr>
        <w:spacing w:after="0" w:line="240" w:lineRule="auto"/>
        <w:rPr>
          <w:lang w:val="fr-BE"/>
        </w:rPr>
      </w:pPr>
      <w:r w:rsidRPr="005B47FF">
        <w:rPr>
          <w:lang w:val="fr-BE"/>
        </w:rPr>
        <w:t>Considérant qu’il s’agit de plateaux de 150 m² ;</w:t>
      </w:r>
    </w:p>
    <w:p w14:paraId="6D53A122" w14:textId="11D4AAB4" w:rsidR="00734D6C" w:rsidRPr="005B47FF" w:rsidRDefault="002A4B49" w:rsidP="005B47FF">
      <w:pPr>
        <w:spacing w:after="0" w:line="240" w:lineRule="auto"/>
        <w:rPr>
          <w:lang w:val="fr-BE"/>
        </w:rPr>
      </w:pPr>
      <w:r w:rsidRPr="005B47FF">
        <w:rPr>
          <w:lang w:val="fr-BE"/>
        </w:rPr>
        <w:t xml:space="preserve">Considérant que tous les logements sont </w:t>
      </w:r>
      <w:proofErr w:type="spellStart"/>
      <w:r w:rsidRPr="005B47FF">
        <w:rPr>
          <w:lang w:val="fr-BE"/>
        </w:rPr>
        <w:t>traver</w:t>
      </w:r>
      <w:r>
        <w:rPr>
          <w:lang w:val="fr-BE"/>
        </w:rPr>
        <w:t>s</w:t>
      </w:r>
      <w:bookmarkStart w:id="0" w:name="_GoBack"/>
      <w:bookmarkEnd w:id="0"/>
      <w:r w:rsidRPr="005B47FF">
        <w:rPr>
          <w:lang w:val="fr-BE"/>
        </w:rPr>
        <w:t>ants</w:t>
      </w:r>
      <w:proofErr w:type="spellEnd"/>
      <w:r w:rsidRPr="005B47FF">
        <w:rPr>
          <w:lang w:val="fr-BE"/>
        </w:rPr>
        <w:t xml:space="preserve"> ;</w:t>
      </w:r>
    </w:p>
    <w:p w14:paraId="6D53A123" w14:textId="77777777" w:rsidR="00734D6C" w:rsidRPr="005B47FF" w:rsidRDefault="002A4B49" w:rsidP="005B47FF">
      <w:pPr>
        <w:spacing w:after="0" w:line="240" w:lineRule="auto"/>
        <w:rPr>
          <w:lang w:val="fr-BE"/>
        </w:rPr>
      </w:pPr>
      <w:r w:rsidRPr="005B47FF">
        <w:rPr>
          <w:lang w:val="fr-BE"/>
        </w:rPr>
        <w:t>Considérant que le bâtiment arrière sera transformé en maison unifamiliale ;</w:t>
      </w:r>
    </w:p>
    <w:p w14:paraId="6D53A124" w14:textId="77777777" w:rsidR="00734D6C" w:rsidRPr="005B47FF" w:rsidRDefault="002A4B49" w:rsidP="005B47FF">
      <w:pPr>
        <w:spacing w:after="0" w:line="240" w:lineRule="auto"/>
        <w:rPr>
          <w:lang w:val="fr-BE"/>
        </w:rPr>
      </w:pPr>
      <w:r w:rsidRPr="005B47FF">
        <w:rPr>
          <w:lang w:val="fr-BE"/>
        </w:rPr>
        <w:t>Considérant qu’i</w:t>
      </w:r>
      <w:r w:rsidRPr="005B47FF">
        <w:rPr>
          <w:lang w:val="fr-BE"/>
        </w:rPr>
        <w:t>l est prévu de démolir la construction en tôle ondulée qui couvre actuellement la cour et de transformée celle-ci en espace jardin ;</w:t>
      </w:r>
    </w:p>
    <w:p w14:paraId="6D53A125" w14:textId="77777777" w:rsidR="00734D6C" w:rsidRPr="005B47FF" w:rsidRDefault="002A4B49" w:rsidP="005B47FF">
      <w:pPr>
        <w:spacing w:after="0" w:line="240" w:lineRule="auto"/>
        <w:rPr>
          <w:lang w:val="fr-BE"/>
        </w:rPr>
      </w:pPr>
      <w:r w:rsidRPr="005B47FF">
        <w:rPr>
          <w:lang w:val="fr-BE"/>
        </w:rPr>
        <w:t>Considérant que la cour sera transformée en jardin perméable ;</w:t>
      </w:r>
    </w:p>
    <w:p w14:paraId="6D53A126" w14:textId="77777777" w:rsidR="00734D6C" w:rsidRPr="005B47FF" w:rsidRDefault="002A4B49" w:rsidP="005B47FF">
      <w:pPr>
        <w:spacing w:after="0" w:line="240" w:lineRule="auto"/>
        <w:rPr>
          <w:lang w:val="fr-BE"/>
        </w:rPr>
      </w:pPr>
      <w:r w:rsidRPr="005B47FF">
        <w:rPr>
          <w:lang w:val="fr-BE"/>
        </w:rPr>
        <w:t>Considérant que l’appartement du rez-de-chaussée bénéficiera</w:t>
      </w:r>
      <w:r w:rsidRPr="005B47FF">
        <w:rPr>
          <w:lang w:val="fr-BE"/>
        </w:rPr>
        <w:t xml:space="preserve"> d’un espace de jardin privé ;</w:t>
      </w:r>
    </w:p>
    <w:p w14:paraId="6D53A127" w14:textId="77777777" w:rsidR="00734D6C" w:rsidRPr="005B47FF" w:rsidRDefault="002A4B49" w:rsidP="005B47FF">
      <w:pPr>
        <w:spacing w:after="0" w:line="240" w:lineRule="auto"/>
        <w:rPr>
          <w:lang w:val="fr-BE"/>
        </w:rPr>
      </w:pPr>
      <w:r w:rsidRPr="005B47FF">
        <w:rPr>
          <w:lang w:val="fr-BE"/>
        </w:rPr>
        <w:t>Considérant que les appartements 2 chambres au 1</w:t>
      </w:r>
      <w:r w:rsidRPr="005B47FF">
        <w:rPr>
          <w:vertAlign w:val="superscript"/>
          <w:lang w:val="fr-BE"/>
        </w:rPr>
        <w:t>er</w:t>
      </w:r>
      <w:r w:rsidRPr="005B47FF">
        <w:rPr>
          <w:lang w:val="fr-BE"/>
        </w:rPr>
        <w:t xml:space="preserve"> et deuxième étages disposeront d’une terrasse ;</w:t>
      </w:r>
    </w:p>
    <w:p w14:paraId="6D53A128" w14:textId="77777777" w:rsidR="00734D6C" w:rsidRPr="005B47FF" w:rsidRDefault="002A4B49" w:rsidP="005B47FF">
      <w:pPr>
        <w:spacing w:after="0" w:line="240" w:lineRule="auto"/>
        <w:rPr>
          <w:lang w:val="fr-BE"/>
        </w:rPr>
      </w:pPr>
      <w:r w:rsidRPr="005B47FF">
        <w:rPr>
          <w:lang w:val="fr-BE"/>
        </w:rPr>
        <w:t>Considérant que celles-ci sont conformes au code civil en matière de vues ;</w:t>
      </w:r>
    </w:p>
    <w:p w14:paraId="6D53A129" w14:textId="77777777" w:rsidR="00734D6C" w:rsidRPr="005B47FF" w:rsidRDefault="002A4B49" w:rsidP="005B47FF">
      <w:pPr>
        <w:spacing w:after="0" w:line="240" w:lineRule="auto"/>
        <w:rPr>
          <w:lang w:val="fr-BE"/>
        </w:rPr>
      </w:pPr>
      <w:r w:rsidRPr="005B47FF">
        <w:rPr>
          <w:lang w:val="fr-BE"/>
        </w:rPr>
        <w:t>Considérant que l’appartement sous combles bénéfic</w:t>
      </w:r>
      <w:r w:rsidRPr="005B47FF">
        <w:rPr>
          <w:lang w:val="fr-BE"/>
        </w:rPr>
        <w:t>iera également d’une large terrasse de 20 m² ;</w:t>
      </w:r>
    </w:p>
    <w:p w14:paraId="6D53A12A" w14:textId="77777777" w:rsidR="00734D6C" w:rsidRPr="005B47FF" w:rsidRDefault="002A4B49" w:rsidP="005B47FF">
      <w:pPr>
        <w:spacing w:after="0" w:line="240" w:lineRule="auto"/>
        <w:rPr>
          <w:lang w:val="fr-BE"/>
        </w:rPr>
      </w:pPr>
      <w:r w:rsidRPr="005B47FF">
        <w:rPr>
          <w:lang w:val="fr-BE"/>
        </w:rPr>
        <w:t>Considérant que les logements projetés sont conformes au RRU en terme d’habitabilité ;</w:t>
      </w:r>
    </w:p>
    <w:p w14:paraId="6D53A12B" w14:textId="77777777" w:rsidR="00734D6C" w:rsidRPr="005B47FF" w:rsidRDefault="002A4B49" w:rsidP="005B47FF">
      <w:pPr>
        <w:spacing w:after="0" w:line="240" w:lineRule="auto"/>
        <w:rPr>
          <w:lang w:val="fr-BE"/>
        </w:rPr>
      </w:pPr>
      <w:r w:rsidRPr="005B47FF">
        <w:rPr>
          <w:lang w:val="fr-BE"/>
        </w:rPr>
        <w:t>Considérant que la toiture sera rehaussée afin de donner suffisamment de hauteur au logement sous combles ;</w:t>
      </w:r>
    </w:p>
    <w:p w14:paraId="6D53A12C" w14:textId="77777777" w:rsidR="00734D6C" w:rsidRPr="005B47FF" w:rsidRDefault="002A4B49" w:rsidP="005B47FF">
      <w:pPr>
        <w:spacing w:after="0" w:line="240" w:lineRule="auto"/>
        <w:rPr>
          <w:lang w:val="fr-BE"/>
        </w:rPr>
      </w:pPr>
      <w:r w:rsidRPr="005B47FF">
        <w:rPr>
          <w:lang w:val="fr-BE"/>
        </w:rPr>
        <w:t>Considérant qu</w:t>
      </w:r>
      <w:r w:rsidRPr="005B47FF">
        <w:rPr>
          <w:lang w:val="fr-BE"/>
        </w:rPr>
        <w:t>e le bâtiment tel que proposé est conforme en termes de gabarits et d’implantation aux prescriptions du PPAS ;</w:t>
      </w:r>
    </w:p>
    <w:p w14:paraId="6D53A12D" w14:textId="77777777" w:rsidR="00734D6C" w:rsidRPr="005B47FF" w:rsidRDefault="002A4B49" w:rsidP="005B47FF">
      <w:pPr>
        <w:spacing w:after="0" w:line="240" w:lineRule="auto"/>
        <w:rPr>
          <w:lang w:val="fr-BE"/>
        </w:rPr>
      </w:pPr>
      <w:r w:rsidRPr="005B47FF">
        <w:rPr>
          <w:lang w:val="fr-BE"/>
        </w:rPr>
        <w:t>Considérant que le PPAS autorise une toiture en tuile et des châssis blancs ;</w:t>
      </w:r>
    </w:p>
    <w:p w14:paraId="6D53A12E" w14:textId="77777777" w:rsidR="00734D6C" w:rsidRPr="005B47FF" w:rsidRDefault="002A4B49" w:rsidP="005B47FF">
      <w:pPr>
        <w:spacing w:after="0" w:line="240" w:lineRule="auto"/>
        <w:rPr>
          <w:lang w:val="fr-BE"/>
        </w:rPr>
      </w:pPr>
      <w:r w:rsidRPr="005B47FF">
        <w:rPr>
          <w:lang w:val="fr-BE"/>
        </w:rPr>
        <w:t xml:space="preserve">Considérant que le zinc peut être accepté au vu des bâtiments </w:t>
      </w:r>
      <w:r w:rsidRPr="005B47FF">
        <w:rPr>
          <w:lang w:val="fr-BE"/>
        </w:rPr>
        <w:t>voisins qui comprennent pour certains également des toitures en zinc ;</w:t>
      </w:r>
    </w:p>
    <w:p w14:paraId="6D53A12F" w14:textId="77777777" w:rsidR="00734D6C" w:rsidRPr="005B47FF" w:rsidRDefault="002A4B49" w:rsidP="006234ED">
      <w:pPr>
        <w:spacing w:after="0" w:line="240" w:lineRule="auto"/>
        <w:rPr>
          <w:lang w:val="fr-BE"/>
        </w:rPr>
      </w:pPr>
      <w:r w:rsidRPr="005B47FF">
        <w:rPr>
          <w:lang w:val="fr-BE"/>
        </w:rPr>
        <w:t>Considérant qu’en ce qui concerne la couleur des boiseries et de la façade, il convient de se conformer au PPAS ;</w:t>
      </w:r>
    </w:p>
    <w:p w14:paraId="6D53A130" w14:textId="77777777" w:rsidR="00734D6C" w:rsidRPr="005B47FF" w:rsidRDefault="002A4B49" w:rsidP="006234ED">
      <w:pPr>
        <w:spacing w:after="0" w:line="240" w:lineRule="auto"/>
        <w:rPr>
          <w:lang w:val="fr-BE"/>
        </w:rPr>
      </w:pPr>
      <w:r w:rsidRPr="005B47FF">
        <w:rPr>
          <w:lang w:val="fr-BE"/>
        </w:rPr>
        <w:t>Considérant que les moulures du bandeau sous la corniche ne sont pas re</w:t>
      </w:r>
      <w:r w:rsidRPr="005B47FF">
        <w:rPr>
          <w:lang w:val="fr-BE"/>
        </w:rPr>
        <w:t>présentées sur les plans  ni en situation projetée ni en situation existante ;</w:t>
      </w:r>
    </w:p>
    <w:p w14:paraId="6D53A131" w14:textId="77777777" w:rsidR="00734D6C" w:rsidRPr="005B47FF" w:rsidRDefault="002A4B49" w:rsidP="006234ED">
      <w:pPr>
        <w:spacing w:after="0" w:line="240" w:lineRule="auto"/>
        <w:rPr>
          <w:lang w:val="fr-BE"/>
        </w:rPr>
      </w:pPr>
      <w:r w:rsidRPr="005B47FF">
        <w:rPr>
          <w:lang w:val="fr-BE"/>
        </w:rPr>
        <w:t>Considérant la qualité architecture de l’immeuble, repris à l’inventaire, il convient de conserver ces moulures ;</w:t>
      </w:r>
    </w:p>
    <w:p w14:paraId="6D53A132" w14:textId="77777777" w:rsidR="00734D6C" w:rsidRPr="005B47FF" w:rsidRDefault="002A4B49" w:rsidP="006234ED">
      <w:pPr>
        <w:spacing w:after="0" w:line="240" w:lineRule="auto"/>
        <w:rPr>
          <w:lang w:val="fr-BE"/>
        </w:rPr>
      </w:pPr>
      <w:r w:rsidRPr="005B47FF">
        <w:rPr>
          <w:lang w:val="fr-BE"/>
        </w:rPr>
        <w:t>Considérant que l’immeuble ne disposera pas de place de station</w:t>
      </w:r>
      <w:r w:rsidRPr="005B47FF">
        <w:rPr>
          <w:lang w:val="fr-BE"/>
        </w:rPr>
        <w:t>nement ;</w:t>
      </w:r>
    </w:p>
    <w:p w14:paraId="6D53A133" w14:textId="77777777" w:rsidR="00734D6C" w:rsidRPr="005B47FF" w:rsidRDefault="002A4B49" w:rsidP="006234ED">
      <w:pPr>
        <w:spacing w:after="0" w:line="240" w:lineRule="auto"/>
        <w:rPr>
          <w:lang w:val="fr-BE"/>
        </w:rPr>
      </w:pPr>
      <w:r w:rsidRPr="005B47FF">
        <w:rPr>
          <w:lang w:val="fr-BE"/>
        </w:rPr>
        <w:lastRenderedPageBreak/>
        <w:t>Considérant cependant que la localisation à proximité immédiate des transports en commun (métro, train, tram, bus) ainsi que d’un parking public communal (rue Traversière) et que de ce fait la dérogation au tire VIII du RRU est acceptable ;</w:t>
      </w:r>
    </w:p>
    <w:p w14:paraId="6D53A134" w14:textId="77777777" w:rsidR="00734D6C" w:rsidRPr="005B47FF" w:rsidRDefault="002A4B49" w:rsidP="006234ED">
      <w:pPr>
        <w:spacing w:after="0" w:line="240" w:lineRule="auto"/>
        <w:rPr>
          <w:lang w:val="fr-BE"/>
        </w:rPr>
      </w:pPr>
      <w:r w:rsidRPr="005B47FF">
        <w:rPr>
          <w:lang w:val="fr-BE"/>
        </w:rPr>
        <w:t>Consid</w:t>
      </w:r>
      <w:r w:rsidRPr="005B47FF">
        <w:rPr>
          <w:lang w:val="fr-BE"/>
        </w:rPr>
        <w:t>érant qu’il est prévu des caves individuelles pour chaque logements ainsi que 12 emplacements vélos au sous-sol ;</w:t>
      </w:r>
    </w:p>
    <w:p w14:paraId="6D53A135" w14:textId="77777777" w:rsidR="00734D6C" w:rsidRPr="005B47FF" w:rsidRDefault="002A4B49" w:rsidP="006234ED">
      <w:pPr>
        <w:spacing w:after="0" w:line="240" w:lineRule="auto"/>
        <w:rPr>
          <w:lang w:val="fr-BE"/>
        </w:rPr>
      </w:pPr>
      <w:r w:rsidRPr="005B47FF">
        <w:rPr>
          <w:lang w:val="fr-BE"/>
        </w:rPr>
        <w:t>Considérant que la disposition des emplacements vélos n’est pas idéale ;</w:t>
      </w:r>
    </w:p>
    <w:p w14:paraId="6D53A136" w14:textId="77777777" w:rsidR="00734D6C" w:rsidRPr="005B47FF" w:rsidRDefault="002A4B49" w:rsidP="006234ED">
      <w:pPr>
        <w:spacing w:after="0" w:line="240" w:lineRule="auto"/>
        <w:rPr>
          <w:lang w:val="fr-BE"/>
        </w:rPr>
      </w:pPr>
      <w:r w:rsidRPr="005B47FF">
        <w:rPr>
          <w:lang w:val="fr-BE"/>
        </w:rPr>
        <w:t>Considérant qu’il convient dès lors de prévoir un rail le long de l’e</w:t>
      </w:r>
      <w:r w:rsidRPr="005B47FF">
        <w:rPr>
          <w:lang w:val="fr-BE"/>
        </w:rPr>
        <w:t>scalier afin de descendre facilement les vélos ;</w:t>
      </w:r>
    </w:p>
    <w:p w14:paraId="6D53A137" w14:textId="77777777" w:rsidR="00734D6C" w:rsidRPr="005B47FF" w:rsidRDefault="002A4B49" w:rsidP="006234ED">
      <w:pPr>
        <w:spacing w:after="0" w:line="240" w:lineRule="auto"/>
        <w:rPr>
          <w:lang w:val="fr-BE"/>
        </w:rPr>
      </w:pPr>
      <w:r w:rsidRPr="005B47FF">
        <w:rPr>
          <w:lang w:val="fr-BE"/>
        </w:rPr>
        <w:t>Considérant la possibilité de placer 3 vélos cargo dans l’entrée cochère ;</w:t>
      </w:r>
    </w:p>
    <w:p w14:paraId="6D53A138" w14:textId="77777777" w:rsidR="00734D6C" w:rsidRPr="005B47FF" w:rsidRDefault="002A4B49" w:rsidP="006234ED">
      <w:pPr>
        <w:spacing w:after="0" w:line="240" w:lineRule="auto"/>
        <w:rPr>
          <w:lang w:val="fr-BE"/>
        </w:rPr>
      </w:pPr>
      <w:r w:rsidRPr="005B47FF">
        <w:rPr>
          <w:lang w:val="fr-BE"/>
        </w:rPr>
        <w:t>Considérant que la parcelle sera rendue perméable et qu’une toiture verte est prévue sur la petite annexe du 1er étage ;</w:t>
      </w:r>
    </w:p>
    <w:p w14:paraId="6D53A139" w14:textId="77777777" w:rsidR="00110EB8" w:rsidRPr="00A120AD" w:rsidRDefault="00110EB8" w:rsidP="006234ED">
      <w:pPr>
        <w:suppressAutoHyphens/>
        <w:spacing w:after="0" w:line="240" w:lineRule="auto"/>
        <w:rPr>
          <w:rFonts w:ascii="Arial" w:hAnsi="Arial" w:cs="Arial"/>
          <w:lang w:val="fr-BE"/>
        </w:rPr>
      </w:pPr>
    </w:p>
    <w:p w14:paraId="6D53A13A" w14:textId="77777777" w:rsidR="00110EB8" w:rsidRPr="00A120AD" w:rsidRDefault="00110EB8" w:rsidP="006234ED">
      <w:pPr>
        <w:suppressAutoHyphens/>
        <w:spacing w:after="0" w:line="240" w:lineRule="auto"/>
        <w:outlineLvl w:val="0"/>
        <w:rPr>
          <w:rFonts w:ascii="Arial" w:hAnsi="Arial" w:cs="Arial"/>
          <w:b/>
          <w:lang w:val="fr-BE"/>
        </w:rPr>
      </w:pPr>
      <w:r w:rsidRPr="00A120AD">
        <w:rPr>
          <w:rFonts w:ascii="Arial" w:hAnsi="Arial" w:cs="Arial"/>
          <w:b/>
          <w:lang w:val="fr-BE"/>
        </w:rPr>
        <w:t xml:space="preserve">AVIS </w:t>
      </w:r>
      <w:r w:rsidR="000210C9">
        <w:rPr>
          <w:rFonts w:ascii="Arial" w:hAnsi="Arial" w:cs="Arial"/>
          <w:b/>
          <w:noProof/>
          <w:lang w:val="fr-BE"/>
        </w:rPr>
        <w:t>Favorable sous conditions (unanime)</w:t>
      </w:r>
    </w:p>
    <w:p w14:paraId="6D53A13B" w14:textId="77777777" w:rsidR="00110EB8" w:rsidRPr="00A120AD" w:rsidRDefault="00110EB8" w:rsidP="006234ED">
      <w:pPr>
        <w:suppressAutoHyphens/>
        <w:spacing w:after="0" w:line="240" w:lineRule="auto"/>
        <w:jc w:val="both"/>
        <w:rPr>
          <w:rFonts w:ascii="Arial" w:hAnsi="Arial" w:cs="Arial"/>
          <w:lang w:val="fr-BE"/>
        </w:rPr>
      </w:pPr>
    </w:p>
    <w:p w14:paraId="5612BBBA" w14:textId="77777777" w:rsidR="006234ED" w:rsidRDefault="000210C9" w:rsidP="006234ED">
      <w:pPr>
        <w:numPr>
          <w:ilvl w:val="0"/>
          <w:numId w:val="2"/>
        </w:numPr>
        <w:suppressAutoHyphens/>
        <w:spacing w:after="0" w:line="240" w:lineRule="auto"/>
        <w:ind w:left="426"/>
        <w:rPr>
          <w:rFonts w:ascii="Arial" w:hAnsi="Arial" w:cs="Arial"/>
          <w:lang w:val="fr-BE"/>
        </w:rPr>
      </w:pPr>
      <w:r>
        <w:rPr>
          <w:rFonts w:ascii="Arial" w:hAnsi="Arial" w:cs="Arial"/>
          <w:noProof/>
          <w:lang w:val="fr-BE"/>
        </w:rPr>
        <w:t>Se conformer aux prescriptions du PPAS en matière de couleur de façade et de boiseries</w:t>
      </w:r>
    </w:p>
    <w:p w14:paraId="14AE262C" w14:textId="77777777" w:rsidR="006234ED" w:rsidRDefault="000210C9" w:rsidP="006234ED">
      <w:pPr>
        <w:numPr>
          <w:ilvl w:val="0"/>
          <w:numId w:val="2"/>
        </w:numPr>
        <w:suppressAutoHyphens/>
        <w:spacing w:after="0" w:line="240" w:lineRule="auto"/>
        <w:ind w:left="426"/>
        <w:rPr>
          <w:rFonts w:ascii="Arial" w:hAnsi="Arial" w:cs="Arial"/>
          <w:lang w:val="fr-BE"/>
        </w:rPr>
      </w:pPr>
      <w:r>
        <w:rPr>
          <w:rFonts w:ascii="Arial" w:hAnsi="Arial" w:cs="Arial"/>
          <w:noProof/>
          <w:lang w:val="fr-BE"/>
        </w:rPr>
        <w:t>Conserver les moulures sur le bandeau en-dessous de la corniche</w:t>
      </w:r>
    </w:p>
    <w:p w14:paraId="40259B0B" w14:textId="77777777" w:rsidR="006234ED" w:rsidRDefault="000210C9" w:rsidP="006234ED">
      <w:pPr>
        <w:numPr>
          <w:ilvl w:val="0"/>
          <w:numId w:val="2"/>
        </w:numPr>
        <w:suppressAutoHyphens/>
        <w:spacing w:after="0" w:line="240" w:lineRule="auto"/>
        <w:ind w:left="426"/>
        <w:rPr>
          <w:rFonts w:ascii="Arial" w:hAnsi="Arial" w:cs="Arial"/>
          <w:lang w:val="fr-BE"/>
        </w:rPr>
      </w:pPr>
      <w:r>
        <w:rPr>
          <w:rFonts w:ascii="Arial" w:hAnsi="Arial" w:cs="Arial"/>
          <w:noProof/>
          <w:lang w:val="fr-BE"/>
        </w:rPr>
        <w:t>Prévoir un rail pour descendre plus facilement les vélos</w:t>
      </w:r>
    </w:p>
    <w:p w14:paraId="79B73E8A" w14:textId="77777777" w:rsidR="006234ED" w:rsidRDefault="000210C9" w:rsidP="006234ED">
      <w:pPr>
        <w:numPr>
          <w:ilvl w:val="0"/>
          <w:numId w:val="2"/>
        </w:numPr>
        <w:suppressAutoHyphens/>
        <w:spacing w:after="0" w:line="240" w:lineRule="auto"/>
        <w:ind w:left="426"/>
        <w:rPr>
          <w:rFonts w:ascii="Arial" w:hAnsi="Arial" w:cs="Arial"/>
          <w:lang w:val="fr-BE"/>
        </w:rPr>
      </w:pPr>
      <w:r>
        <w:rPr>
          <w:rFonts w:ascii="Arial" w:hAnsi="Arial" w:cs="Arial"/>
          <w:noProof/>
          <w:lang w:val="fr-BE"/>
        </w:rPr>
        <w:t>Conserver le vitrail sur site</w:t>
      </w:r>
    </w:p>
    <w:p w14:paraId="4A54BE80" w14:textId="77777777" w:rsidR="006234ED" w:rsidRDefault="006234ED" w:rsidP="006234ED">
      <w:pPr>
        <w:suppressAutoHyphens/>
        <w:spacing w:after="0" w:line="240" w:lineRule="auto"/>
        <w:ind w:left="66"/>
        <w:rPr>
          <w:rFonts w:ascii="Arial" w:hAnsi="Arial" w:cs="Arial"/>
          <w:lang w:val="fr-BE"/>
        </w:rPr>
      </w:pPr>
    </w:p>
    <w:p w14:paraId="6D53A13C" w14:textId="3C98BB43" w:rsidR="00110EB8" w:rsidRPr="006234ED" w:rsidRDefault="000210C9" w:rsidP="006234ED">
      <w:pPr>
        <w:suppressAutoHyphens/>
        <w:spacing w:after="0" w:line="240" w:lineRule="auto"/>
        <w:ind w:left="66"/>
        <w:rPr>
          <w:rFonts w:ascii="Arial" w:hAnsi="Arial" w:cs="Arial"/>
          <w:lang w:val="fr-BE"/>
        </w:rPr>
      </w:pPr>
      <w:r w:rsidRPr="006234ED">
        <w:rPr>
          <w:rFonts w:ascii="Arial" w:hAnsi="Arial" w:cs="Arial"/>
          <w:noProof/>
          <w:lang w:val="fr-BE"/>
        </w:rPr>
        <w:br/>
        <w:t xml:space="preserve">La dérogation au PPAS en matière de toiture ainsi que la dérogation au titre VII du RRU est accordée. </w:t>
      </w:r>
    </w:p>
    <w:p w14:paraId="6D53A13D" w14:textId="77777777" w:rsidR="00110EB8" w:rsidRPr="00A120AD" w:rsidRDefault="00110EB8" w:rsidP="006234ED">
      <w:pPr>
        <w:suppressAutoHyphens/>
        <w:spacing w:after="0" w:line="240" w:lineRule="auto"/>
        <w:jc w:val="both"/>
        <w:rPr>
          <w:rFonts w:ascii="Arial" w:hAnsi="Arial" w:cs="Arial"/>
          <w:lang w:val="fr-BE"/>
        </w:rPr>
      </w:pPr>
    </w:p>
    <w:p w14:paraId="6D53A13F" w14:textId="301D0114" w:rsidR="00110EB8" w:rsidRPr="00A120AD" w:rsidRDefault="00110EB8" w:rsidP="006234ED">
      <w:pPr>
        <w:suppressAutoHyphens/>
        <w:spacing w:after="0" w:line="240" w:lineRule="auto"/>
        <w:rPr>
          <w:rFonts w:ascii="Arial" w:hAnsi="Arial" w:cs="Arial"/>
          <w:b/>
          <w:spacing w:val="-3"/>
          <w:lang w:val="fr-BE"/>
        </w:rPr>
      </w:pPr>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3A142" w14:textId="77777777" w:rsidR="00FC51AD" w:rsidRDefault="00FC51AD" w:rsidP="00CD4528">
      <w:pPr>
        <w:spacing w:after="0" w:line="240" w:lineRule="auto"/>
      </w:pPr>
      <w:r>
        <w:separator/>
      </w:r>
    </w:p>
  </w:endnote>
  <w:endnote w:type="continuationSeparator" w:id="0">
    <w:p w14:paraId="6D53A143"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A146"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A147"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A149"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3A140" w14:textId="77777777" w:rsidR="00FC51AD" w:rsidRDefault="00FC51AD" w:rsidP="00CD4528">
      <w:pPr>
        <w:spacing w:after="0" w:line="240" w:lineRule="auto"/>
      </w:pPr>
      <w:r>
        <w:separator/>
      </w:r>
    </w:p>
  </w:footnote>
  <w:footnote w:type="continuationSeparator" w:id="0">
    <w:p w14:paraId="6D53A141"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A144"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A145"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A148"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4B49"/>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47FF"/>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34ED"/>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4D6C"/>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A111"/>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3977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2022-02-01T08:51:00Z</cp:lastPrinted>
  <dcterms:created xsi:type="dcterms:W3CDTF">2022-02-02T14:56:00Z</dcterms:created>
  <dcterms:modified xsi:type="dcterms:W3CDTF">2022-02-02T14:56:00Z</dcterms:modified>
</cp:coreProperties>
</file>